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before="600" w:after="40"/>
      </w:pPr>
      <w:r>
        <w:rPr>
          <w:rFonts w:ascii="JetBrains Mono" w:hAnsi="JetBrains Mono" w:cs="JetBrains Mono"/>
          <w:color w:val="6B8F8A"/>
          <w:spacing w:val="24"/>
          <w:sz w:val="18"/>
        </w:rPr>
        <w:t xml:space="preserve">WITO  ·  WORLD INTEROPERABLE TRUST ORGANIZATION</w:t>
      </w:r>
    </w:p>
    <w:p>
      <w:pPr>
        <w:spacing w:after="360"/>
      </w:pPr>
      <w:r>
        <w:rPr>
          <w:rFonts w:ascii="JetBrains Mono" w:hAnsi="JetBrains Mono" w:cs="JetBrains Mono"/>
          <w:color w:val="6B8F8A"/>
          <w:spacing w:val="24"/>
          <w:sz w:val="18"/>
        </w:rPr>
        <w:t xml:space="preserve">GENEVA · SWITZERLAND</w:t>
      </w:r>
    </w:p>
    <w:p>
      <w:pPr>
        <w:spacing w:before="800" w:after="0"/>
      </w:pPr>
    </w:p>
    <w:p>
      <w:pPr>
        <w:spacing w:after="80"/>
      </w:pPr>
      <w:r>
        <w:rPr>
          <w:rFonts w:ascii="JetBrains Mono" w:hAnsi="JetBrains Mono" w:cs="JetBrains Mono"/>
          <w:color w:val="B8924A"/>
          <w:spacing w:val="30"/>
          <w:sz w:val="20"/>
        </w:rPr>
        <w:t xml:space="preserve">CODEBOOK</w:t>
      </w:r>
    </w:p>
    <w:p>
      <w:pPr>
        <w:spacing w:after="200" w:line="312" w:lineRule="atLeast"/>
      </w:pPr>
      <w:r>
        <w:rPr>
          <w:rFonts w:cs="Inter"/>
          <w:b/>
          <w:color w:val="004040"/>
          <w:sz w:val="70"/>
        </w:rPr>
        <w:t xml:space="preserve">The trust instrument dataset</w:t>
      </w:r>
    </w:p>
    <w:p>
      <w:pPr>
        <w:spacing w:after="480"/>
      </w:pPr>
      <w:r>
        <w:rPr>
          <w:rFonts w:cs="Inter"/>
          <w:i/>
          <w:color w:val="6B8F8A"/>
          <w:sz w:val="30"/>
        </w:rPr>
        <w:t xml:space="preserve">Variables, definitions, and permitted values.</w:t>
      </w:r>
    </w:p>
    <w:p>
      <w:pPr>
        <w:pBdr>
          <w:bottom w:val="single" w:sz="8" w:space="2" w:color="004040"/>
        </w:pBdr>
        <w:spacing w:before="40"/>
      </w:pPr>
    </w:p>
    <w:p>
      <w:pPr>
        <w:spacing w:before="120" w:after="0"/>
      </w:pPr>
      <w:r>
        <w:rPr>
          <w:rFonts w:ascii="JetBrains Mono" w:hAnsi="JetBrains Mono" w:cs="JetBrains Mono"/>
          <w:color w:val="6B8F8A"/>
          <w:spacing w:val="20"/>
        </w:rPr>
        <w:t xml:space="preserve">VERSION 1.0 · AUGUST 2026</w:t>
      </w:r>
    </w:p>
    <w:p>
      <w:pPr>
        <w:spacing w:before="360" w:after="0"/>
      </w:pPr>
    </w:p>
    <w:p>
      <w:pPr>
        <w:spacing w:after="40"/>
      </w:pPr>
      <w:r>
        <w:rPr>
          <w:rFonts w:ascii="JetBrains Mono" w:hAnsi="JetBrains Mono" w:cs="JetBrains Mono"/>
          <w:color w:val="6B8F8A"/>
          <w:sz w:val="17"/>
        </w:rPr>
        <w:t xml:space="preserve">© 2026 World Interoperable Trust Organization.</w:t>
      </w:r>
    </w:p>
    <w:p>
      <w:pPr>
        <w:spacing w:after="40"/>
      </w:pPr>
      <w:r>
        <w:rPr>
          <w:rFonts w:ascii="JetBrains Mono" w:hAnsi="JetBrains Mono" w:cs="JetBrains Mono"/>
          <w:color w:val="6B8F8A"/>
          <w:sz w:val="17"/>
        </w:rPr>
        <w:t xml:space="preserve">Licence · Creative Commons Attribution 4.0 International (CC BY 4.0). Full terms, including material not covered, in LICENCE.txt with the dataset.</w:t>
      </w:r>
    </w:p>
    <w:p>
      <w:pPr>
        <w:spacing w:after="0"/>
      </w:pPr>
      <w:r>
        <w:rPr>
          <w:rFonts w:ascii="JetBrains Mono" w:hAnsi="JetBrains Mono" w:cs="JetBrains Mono"/>
          <w:color w:val="6B8F8A"/>
          <w:sz w:val="17"/>
        </w:rPr>
        <w:t xml:space="preserve">Suggested citation · World Interoperable Trust Organization (2026). </w:t>
      </w:r>
      <w:r>
        <w:rPr>
          <w:rFonts w:ascii="JetBrains Mono" w:hAnsi="JetBrains Mono" w:cs="JetBrains Mono"/>
          <w:i/>
          <w:color w:val="6B8F8A"/>
          <w:sz w:val="17"/>
        </w:rPr>
        <w:t xml:space="preserve">The trust instrument dataset</w:t>
      </w:r>
      <w:r>
        <w:rPr>
          <w:rFonts w:ascii="JetBrains Mono" w:hAnsi="JetBrains Mono" w:cs="JetBrains Mono"/>
          <w:color w:val="6B8F8A"/>
          <w:sz w:val="17"/>
        </w:rPr>
        <w:t xml:space="preserve">, version 1.0. Geneva: WITO.</w:t>
      </w:r>
    </w:p>
    <w:p>
      <w:r>
        <w:br w:type="page"/>
      </w:r>
    </w:p>
    <w:p>
      <w:pPr>
        <w:spacing w:before="360" w:after="60"/>
      </w:pPr>
      <w:r>
        <w:rPr>
          <w:rFonts w:ascii="JetBrains Mono" w:hAnsi="JetBrains Mono" w:cs="JetBrains Mono"/>
          <w:color w:val="B8924A"/>
          <w:spacing w:val="40"/>
          <w:sz w:val="24"/>
        </w:rPr>
        <w:t xml:space="preserve">CODEBOOK</w:t>
      </w:r>
    </w:p>
    <w:p>
      <w:pPr>
        <w:pStyle w:val="Heading1"/>
      </w:pPr>
      <w:r>
        <w:t xml:space="preserve">Variables</w:t>
      </w:r>
    </w:p>
    <w:p>
      <w:pPr>
        <w:pBdr>
          <w:bottom w:val="single" w:sz="8" w:space="2" w:color="004040"/>
        </w:pBdr>
        <w:spacing w:before="40"/>
      </w:pPr>
    </w:p>
    <w:p>
      <w:pPr/>
      <w:r>
        <w:rPr>
          <w:rFonts w:cs="Inter"/>
        </w:rPr>
        <w:t xml:space="preserve">One row of the dataset is one instrument, and the file holds 619 of them. Every column is listed below in the order it appears in the file, with its definition and, where the column takes a controlled value, every permitted value and its count across the file. Counts are computed from the published data rather than transcribed.</w:t>
      </w:r>
    </w:p>
    <w:p>
      <w:pPr>
        <w:keepNext/>
        <w:keepLines/>
        <w:spacing w:before="240" w:after="60"/>
      </w:pPr>
      <w:r>
        <w:rPr>
          <w:rFonts w:ascii="JetBrains Mono" w:hAnsi="JetBrains Mono" w:cs="JetBrains Mono"/>
          <w:b/>
          <w:sz w:val="25"/>
        </w:rPr>
        <w:t xml:space="preserve">instrument_id</w:t>
      </w:r>
    </w:p>
    <w:p>
      <w:pPr>
        <w:keepNext/>
        <w:keepLines/>
        <w:spacing w:before="0" w:after="60"/>
      </w:pPr>
      <w:r>
        <w:rPr>
          <w:rFonts w:ascii="JetBrains Mono" w:hAnsi="JetBrains Mono" w:cs="JetBrains Mono"/>
          <w:color w:val="6B8F8A"/>
          <w:sz w:val="17"/>
        </w:rPr>
        <w:t xml:space="preserve">Integer · coverage: 100%</w:t>
      </w:r>
    </w:p>
    <w:p>
      <w:pPr/>
      <w:r>
        <w:rPr>
          <w:rFonts w:cs="Inter"/>
        </w:rPr>
        <w:t xml:space="preserve">Stable identifier for the instrument, carried over from the internal register. Identifiers are not consecutive: numbers belonging to rows removed as out of scope are not reused.</w:t>
      </w:r>
    </w:p>
    <w:p>
      <w:pPr>
        <w:keepNext/>
        <w:keepLines/>
        <w:spacing w:before="240" w:after="60"/>
      </w:pPr>
      <w:r>
        <w:rPr>
          <w:rFonts w:ascii="JetBrains Mono" w:hAnsi="JetBrains Mono" w:cs="JetBrains Mono"/>
          <w:b/>
          <w:sz w:val="25"/>
        </w:rPr>
        <w:t xml:space="preserve">name</w:t>
      </w:r>
    </w:p>
    <w:p>
      <w:pPr>
        <w:keepNext/>
        <w:keepLines/>
        <w:spacing w:before="0" w:after="60"/>
      </w:pPr>
      <w:r>
        <w:rPr>
          <w:rFonts w:ascii="JetBrains Mono" w:hAnsi="JetBrains Mono" w:cs="JetBrains Mono"/>
          <w:color w:val="6B8F8A"/>
          <w:sz w:val="17"/>
        </w:rPr>
        <w:t xml:space="preserve">String · coverage: 100%</w:t>
      </w:r>
    </w:p>
    <w:p>
      <w:pPr/>
      <w:r>
        <w:rPr>
          <w:rFonts w:cs="Inter"/>
        </w:rPr>
        <w:t xml:space="preserve">The name of the instrument as its owner gives it. Official titles are reproduced verbatim, including the punctuation used by standards bodies.</w:t>
      </w:r>
    </w:p>
    <w:p>
      <w:pPr>
        <w:keepNext/>
        <w:keepLines/>
        <w:spacing w:before="240" w:after="60"/>
      </w:pPr>
      <w:r>
        <w:rPr>
          <w:rFonts w:ascii="JetBrains Mono" w:hAnsi="JetBrains Mono" w:cs="JetBrains Mono"/>
          <w:b/>
          <w:sz w:val="25"/>
        </w:rPr>
        <w:t xml:space="preserve">acronym</w:t>
      </w:r>
    </w:p>
    <w:p>
      <w:pPr>
        <w:keepNext/>
        <w:keepLines/>
        <w:spacing w:before="0" w:after="60"/>
      </w:pPr>
      <w:r>
        <w:rPr>
          <w:rFonts w:ascii="JetBrains Mono" w:hAnsi="JetBrains Mono" w:cs="JetBrains Mono"/>
          <w:color w:val="6B8F8A"/>
          <w:sz w:val="17"/>
        </w:rPr>
        <w:t xml:space="preserve">String · coverage: 94.8%</w:t>
      </w:r>
    </w:p>
    <w:p>
      <w:pPr/>
      <w:r>
        <w:rPr>
          <w:rFonts w:cs="Inter"/>
        </w:rPr>
        <w:t xml:space="preserve">The short form in common use, where one exists.</w:t>
      </w:r>
    </w:p>
    <w:p>
      <w:pPr>
        <w:keepNext/>
        <w:keepLines/>
        <w:spacing w:before="240" w:after="60"/>
      </w:pPr>
      <w:r>
        <w:rPr>
          <w:rFonts w:ascii="JetBrains Mono" w:hAnsi="JetBrains Mono" w:cs="JetBrains Mono"/>
          <w:b/>
          <w:sz w:val="25"/>
        </w:rPr>
        <w:t xml:space="preserve">owner</w:t>
      </w:r>
    </w:p>
    <w:p>
      <w:pPr>
        <w:keepNext/>
        <w:keepLines/>
        <w:spacing w:before="0" w:after="60"/>
      </w:pPr>
      <w:r>
        <w:rPr>
          <w:rFonts w:ascii="JetBrains Mono" w:hAnsi="JetBrains Mono" w:cs="JetBrains Mono"/>
          <w:color w:val="6B8F8A"/>
          <w:sz w:val="17"/>
        </w:rPr>
        <w:t xml:space="preserve">String · coverage: 100%</w:t>
      </w:r>
    </w:p>
    <w:p>
      <w:pPr/>
      <w:r>
        <w:rPr>
          <w:rFonts w:cs="Inter"/>
        </w:rPr>
        <w:t xml:space="preserve">The body that authors, administers, or maintains the instrument. Free text, not a controlled list, and some values carry a parenthetical qualifier naming the committee or the legal instrument.</w:t>
      </w:r>
    </w:p>
    <w:p>
      <w:pPr>
        <w:keepNext/>
        <w:keepLines/>
        <w:spacing w:before="240" w:after="60"/>
      </w:pPr>
      <w:r>
        <w:rPr>
          <w:rFonts w:ascii="JetBrains Mono" w:hAnsi="JetBrains Mono" w:cs="JetBrains Mono"/>
          <w:b/>
          <w:sz w:val="25"/>
        </w:rPr>
        <w:t xml:space="preserve">owner_normalised</w:t>
      </w:r>
    </w:p>
    <w:p>
      <w:pPr>
        <w:keepNext/>
        <w:keepLines/>
        <w:spacing w:before="0" w:after="60"/>
      </w:pPr>
      <w:r>
        <w:rPr>
          <w:rFonts w:ascii="JetBrains Mono" w:hAnsi="JetBrains Mono" w:cs="JetBrains Mono"/>
          <w:color w:val="6B8F8A"/>
          <w:sz w:val="17"/>
        </w:rPr>
        <w:t xml:space="preserve">String · coverage: 100%</w:t>
      </w:r>
    </w:p>
    <w:p>
      <w:pPr/>
      <w:r>
        <w:rPr>
          <w:rFonts w:cs="Inter"/>
        </w:rPr>
        <w:t xml:space="preserve">Derived from owner. Any parenthetical qualifier is removed, the string is truncated at the first comma, and three families are collapsed to a single label, ISO / IEC, European Union, and NIST, because their instruments are issued under many committee and directorate names. The rule is mechanical: it does not merge a ministry with the agency beneath it. Use owner directly for any other grouping.</w:t>
      </w:r>
    </w:p>
    <w:p>
      <w:pPr>
        <w:keepNext/>
        <w:keepLines/>
        <w:spacing w:before="240" w:after="60"/>
      </w:pPr>
      <w:r>
        <w:rPr>
          <w:rFonts w:ascii="JetBrains Mono" w:hAnsi="JetBrains Mono" w:cs="JetBrains Mono"/>
          <w:b/>
          <w:sz w:val="25"/>
        </w:rPr>
        <w:t xml:space="preserve">owner_category</w:t>
      </w:r>
    </w:p>
    <w:p>
      <w:pPr>
        <w:keepNext/>
        <w:keepLines/>
        <w:spacing w:before="0" w:after="60"/>
      </w:pPr>
      <w:r>
        <w:rPr>
          <w:rFonts w:ascii="JetBrains Mono" w:hAnsi="JetBrains Mono" w:cs="JetBrains Mono"/>
          <w:color w:val="6B8F8A"/>
          <w:sz w:val="17"/>
        </w:rPr>
        <w:t xml:space="preserve">String · coverage: 100%</w:t>
      </w:r>
    </w:p>
    <w:p>
      <w:pPr/>
      <w:r>
        <w:rPr>
          <w:rFonts w:cs="Inter"/>
        </w:rPr>
        <w:t xml:space="preserve">The type of body that authored or owns the instrument.</w:t>
      </w:r>
    </w:p>
    <w:tbl>
      <w:tblPr>
        <w:tblW w:w="0" w:type="auto"/>
        <w:tblLayout w:type="fixed"/>
        <w:tblLook w:val="04A0" w:firstRow="1" w:lastRow="0" w:firstColumn="1" w:lastColumn="0" w:noHBand="0" w:noVBand="1"/>
      </w:tblPr>
      <w:tblGrid>
        <w:gridCol w:w="3200"/>
        <w:gridCol w:w="900"/>
        <w:gridCol w:w="4828"/>
      </w:tblGrid>
      <w:tr>
        <w:trPr>
          <w:tblHeader/>
        </w:trPr>
        <w:tc>
          <w:tcPr>
            <w:tcW w:w="3200" w:type="dxa"/>
            <w:shd w:val="clear" w:color="auto" w:fill="004040"/>
          </w:tcPr>
          <w:p>
            <w:pPr>
              <w:spacing w:before="40" w:after="40"/>
            </w:pPr>
            <w:r>
              <w:rPr>
                <w:rFonts w:cs="Inter"/>
                <w:b/>
                <w:color w:val="FFFFFF"/>
                <w:sz w:val="18"/>
              </w:rPr>
              <w:t xml:space="preserve">Value</w:t>
            </w:r>
          </w:p>
        </w:tc>
        <w:tc>
          <w:tcPr>
            <w:tcW w:w="900" w:type="dxa"/>
            <w:shd w:val="clear" w:color="auto" w:fill="004040"/>
          </w:tcPr>
          <w:p>
            <w:pPr>
              <w:spacing w:before="40" w:after="40"/>
              <w:jc w:val="right"/>
            </w:pPr>
            <w:r>
              <w:rPr>
                <w:rFonts w:cs="Inter"/>
                <w:b/>
                <w:color w:val="FFFFFF"/>
                <w:sz w:val="18"/>
              </w:rPr>
              <w:t xml:space="preserve">Count</w:t>
            </w:r>
          </w:p>
        </w:tc>
        <w:tc>
          <w:tcPr>
            <w:tcW w:w="4828" w:type="dxa"/>
            <w:shd w:val="clear" w:color="auto" w:fill="004040"/>
          </w:tcPr>
          <w:p>
            <w:pPr>
              <w:spacing w:before="40" w:after="40"/>
            </w:pPr>
            <w:r>
              <w:rPr>
                <w:rFonts w:cs="Inter"/>
                <w:b/>
                <w:color w:val="FFFFFF"/>
                <w:sz w:val="18"/>
              </w:rPr>
              <w:t xml:space="preserve">Definition</w:t>
            </w:r>
          </w:p>
        </w:tc>
      </w:tr>
      <w:tr>
        <w:tc>
          <w:tcPr>
            <w:tcW w:w="3200" w:type="dxa"/>
            <w:tcBorders>
              <w:bottom w:val="single" w:sz="4" w:space="0" w:color="C9D1CE"/>
            </w:tcBorders>
          </w:tcPr>
          <w:p>
            <w:pPr>
              <w:spacing w:before="40" w:after="40"/>
            </w:pPr>
            <w:r>
              <w:rPr>
                <w:rFonts w:ascii="JetBrains Mono" w:hAnsi="JetBrains Mono" w:cs="JetBrains Mono"/>
                <w:sz w:val="19"/>
              </w:rPr>
              <w:t xml:space="preserve">public</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250</w:t>
            </w:r>
          </w:p>
        </w:tc>
        <w:tc>
          <w:tcPr>
            <w:tcW w:w="4828" w:type="dxa"/>
            <w:tcBorders>
              <w:bottom w:val="single" w:sz="4" w:space="0" w:color="C9D1CE"/>
            </w:tcBorders>
          </w:tcPr>
          <w:p>
            <w:pPr>
              <w:spacing w:before="40" w:after="40"/>
            </w:pPr>
            <w:r>
              <w:rPr>
                <w:rFonts w:cs="Inter"/>
                <w:sz w:val="19"/>
              </w:rPr>
              <w:t xml:space="preserve">A government, a regulator, or a public international body.</w:t>
            </w:r>
          </w:p>
        </w:tc>
      </w:tr>
      <w:tr>
        <w:tc>
          <w:tcPr>
            <w:tcW w:w="3200" w:type="dxa"/>
            <w:tcBorders>
              <w:bottom w:val="single" w:sz="4" w:space="0" w:color="C9D1CE"/>
            </w:tcBorders>
          </w:tcPr>
          <w:p>
            <w:pPr>
              <w:spacing w:before="40" w:after="40"/>
            </w:pPr>
            <w:r>
              <w:rPr>
                <w:rFonts w:ascii="JetBrains Mono" w:hAnsi="JetBrains Mono" w:cs="JetBrains Mono"/>
                <w:sz w:val="19"/>
              </w:rPr>
              <w:t xml:space="preserve">NGO-multistakeholder</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163</w:t>
            </w:r>
          </w:p>
        </w:tc>
        <w:tc>
          <w:tcPr>
            <w:tcW w:w="4828" w:type="dxa"/>
            <w:tcBorders>
              <w:bottom w:val="single" w:sz="4" w:space="0" w:color="C9D1CE"/>
            </w:tcBorders>
          </w:tcPr>
          <w:p>
            <w:pPr>
              <w:spacing w:before="40" w:after="40"/>
            </w:pPr>
            <w:r>
              <w:rPr>
                <w:rFonts w:cs="Inter"/>
                <w:sz w:val="19"/>
              </w:rPr>
              <w:t xml:space="preserve">A non-governmental or multistakeholder body.</w:t>
            </w:r>
          </w:p>
        </w:tc>
      </w:tr>
      <w:tr>
        <w:tc>
          <w:tcPr>
            <w:tcW w:w="3200" w:type="dxa"/>
            <w:tcBorders>
              <w:bottom w:val="single" w:sz="4" w:space="0" w:color="C9D1CE"/>
            </w:tcBorders>
          </w:tcPr>
          <w:p>
            <w:pPr>
              <w:spacing w:before="40" w:after="40"/>
            </w:pPr>
            <w:r>
              <w:rPr>
                <w:rFonts w:ascii="JetBrains Mono" w:hAnsi="JetBrains Mono" w:cs="JetBrains Mono"/>
                <w:sz w:val="19"/>
              </w:rPr>
              <w:t xml:space="preserve">private</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120</w:t>
            </w:r>
          </w:p>
        </w:tc>
        <w:tc>
          <w:tcPr>
            <w:tcW w:w="4828" w:type="dxa"/>
            <w:tcBorders>
              <w:bottom w:val="single" w:sz="4" w:space="0" w:color="C9D1CE"/>
            </w:tcBorders>
          </w:tcPr>
          <w:p>
            <w:pPr>
              <w:spacing w:before="40" w:after="40"/>
            </w:pPr>
            <w:r>
              <w:rPr>
                <w:rFonts w:cs="Inter"/>
                <w:sz w:val="19"/>
              </w:rPr>
              <w:t xml:space="preserve">A company or a consortium of companies.</w:t>
            </w:r>
          </w:p>
        </w:tc>
      </w:tr>
      <w:tr>
        <w:tc>
          <w:tcPr>
            <w:tcW w:w="3200" w:type="dxa"/>
            <w:tcBorders>
              <w:bottom w:val="single" w:sz="4" w:space="0" w:color="C9D1CE"/>
            </w:tcBorders>
          </w:tcPr>
          <w:p>
            <w:pPr>
              <w:spacing w:before="40" w:after="40"/>
            </w:pPr>
            <w:r>
              <w:rPr>
                <w:rFonts w:ascii="JetBrains Mono" w:hAnsi="JetBrains Mono" w:cs="JetBrains Mono"/>
                <w:sz w:val="19"/>
              </w:rPr>
              <w:t xml:space="preserve">hybrid</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86</w:t>
            </w:r>
          </w:p>
        </w:tc>
        <w:tc>
          <w:tcPr>
            <w:tcW w:w="4828" w:type="dxa"/>
            <w:tcBorders>
              <w:bottom w:val="single" w:sz="4" w:space="0" w:color="C9D1CE"/>
            </w:tcBorders>
          </w:tcPr>
          <w:p>
            <w:pPr>
              <w:spacing w:before="40" w:after="40"/>
            </w:pPr>
            <w:r>
              <w:rPr>
                <w:rFonts w:cs="Inter"/>
                <w:sz w:val="19"/>
              </w:rPr>
              <w:t xml:space="preserve">A public and private arrangement.</w:t>
            </w:r>
          </w:p>
        </w:tc>
      </w:tr>
    </w:tbl>
    <w:p>
      <w:pPr>
        <w:spacing w:after="120"/>
      </w:pPr>
    </w:p>
    <w:p>
      <w:pPr>
        <w:keepNext/>
        <w:keepLines/>
        <w:spacing w:before="240" w:after="60"/>
      </w:pPr>
      <w:r>
        <w:rPr>
          <w:rFonts w:ascii="JetBrains Mono" w:hAnsi="JetBrains Mono" w:cs="JetBrains Mono"/>
          <w:b/>
          <w:sz w:val="25"/>
        </w:rPr>
        <w:t xml:space="preserve">year_established</w:t>
      </w:r>
    </w:p>
    <w:p>
      <w:pPr>
        <w:keepNext/>
        <w:keepLines/>
        <w:spacing w:before="0" w:after="60"/>
      </w:pPr>
      <w:r>
        <w:rPr>
          <w:rFonts w:ascii="JetBrains Mono" w:hAnsi="JetBrains Mono" w:cs="JetBrains Mono"/>
          <w:color w:val="6B8F8A"/>
          <w:sz w:val="17"/>
        </w:rPr>
        <w:t xml:space="preserve">Integer · coverage: 99.8%</w:t>
      </w:r>
    </w:p>
    <w:p>
      <w:pPr/>
      <w:r>
        <w:rPr>
          <w:rFonts w:cs="Inter"/>
        </w:rPr>
        <w:t xml:space="preserve">The year the instrument was established, adopted, or first published.</w:t>
      </w:r>
    </w:p>
    <w:p>
      <w:pPr>
        <w:keepNext/>
        <w:keepLines/>
        <w:spacing w:before="240" w:after="60"/>
      </w:pPr>
      <w:r>
        <w:rPr>
          <w:rFonts w:ascii="JetBrains Mono" w:hAnsi="JetBrains Mono" w:cs="JetBrains Mono"/>
          <w:b/>
          <w:sz w:val="25"/>
        </w:rPr>
        <w:t xml:space="preserve">year_established_detail</w:t>
      </w:r>
    </w:p>
    <w:p>
      <w:pPr>
        <w:keepNext/>
        <w:keepLines/>
        <w:spacing w:before="0" w:after="60"/>
      </w:pPr>
      <w:r>
        <w:rPr>
          <w:rFonts w:ascii="JetBrains Mono" w:hAnsi="JetBrains Mono" w:cs="JetBrains Mono"/>
          <w:color w:val="6B8F8A"/>
          <w:sz w:val="17"/>
        </w:rPr>
        <w:t xml:space="preserve">String · coverage: 87.2%</w:t>
      </w:r>
    </w:p>
    <w:p>
      <w:pPr/>
      <w:r>
        <w:rPr>
          <w:rFonts w:cs="Inter"/>
        </w:rPr>
        <w:t xml:space="preserve">The year as originally recorded, retained where the raw entry carries more than a bare year, such as a separate date of entry into force.</w:t>
      </w:r>
    </w:p>
    <w:p>
      <w:pPr>
        <w:keepNext/>
        <w:keepLines/>
        <w:spacing w:before="240" w:after="60"/>
      </w:pPr>
      <w:r>
        <w:rPr>
          <w:rFonts w:ascii="JetBrains Mono" w:hAnsi="JetBrains Mono" w:cs="JetBrains Mono"/>
          <w:b/>
          <w:sz w:val="25"/>
        </w:rPr>
        <w:t xml:space="preserve">year_source_url</w:t>
      </w:r>
    </w:p>
    <w:p>
      <w:pPr>
        <w:keepNext/>
        <w:keepLines/>
        <w:spacing w:before="0" w:after="60"/>
      </w:pPr>
      <w:r>
        <w:rPr>
          <w:rFonts w:ascii="JetBrains Mono" w:hAnsi="JetBrains Mono" w:cs="JetBrains Mono"/>
          <w:color w:val="6B8F8A"/>
          <w:sz w:val="17"/>
        </w:rPr>
        <w:t xml:space="preserve">String · coverage: 12.8%</w:t>
      </w:r>
    </w:p>
    <w:p>
      <w:pPr/>
      <w:r>
        <w:rPr>
          <w:rFonts w:cs="Inter"/>
        </w:rPr>
        <w:t xml:space="preserve">Source for the year, populated only for rows where the year was researched separately after the first coding pass.</w:t>
      </w:r>
    </w:p>
    <w:p>
      <w:pPr>
        <w:keepNext/>
        <w:keepLines/>
        <w:spacing w:before="240" w:after="60"/>
      </w:pPr>
      <w:r>
        <w:rPr>
          <w:rFonts w:ascii="JetBrains Mono" w:hAnsi="JetBrains Mono" w:cs="JetBrains Mono"/>
          <w:b/>
          <w:sz w:val="25"/>
        </w:rPr>
        <w:t xml:space="preserve">status</w:t>
      </w:r>
    </w:p>
    <w:p>
      <w:pPr>
        <w:keepNext/>
        <w:keepLines/>
        <w:spacing w:before="0" w:after="60"/>
      </w:pPr>
      <w:r>
        <w:rPr>
          <w:rFonts w:ascii="JetBrains Mono" w:hAnsi="JetBrains Mono" w:cs="JetBrains Mono"/>
          <w:color w:val="6B8F8A"/>
          <w:sz w:val="17"/>
        </w:rPr>
        <w:t xml:space="preserve">String · coverage: 100%</w:t>
      </w:r>
    </w:p>
    <w:p>
      <w:pPr/>
      <w:r>
        <w:rPr>
          <w:rFonts w:cs="Inter"/>
        </w:rPr>
        <w:t xml:space="preserve">The current standing of the instrument.</w:t>
      </w:r>
    </w:p>
    <w:tbl>
      <w:tblPr>
        <w:tblW w:w="0" w:type="auto"/>
        <w:tblLayout w:type="fixed"/>
        <w:tblLook w:val="04A0" w:firstRow="1" w:lastRow="0" w:firstColumn="1" w:lastColumn="0" w:noHBand="0" w:noVBand="1"/>
      </w:tblPr>
      <w:tblGrid>
        <w:gridCol w:w="3200"/>
        <w:gridCol w:w="900"/>
        <w:gridCol w:w="4828"/>
      </w:tblGrid>
      <w:tr>
        <w:trPr>
          <w:tblHeader/>
        </w:trPr>
        <w:tc>
          <w:tcPr>
            <w:tcW w:w="3200" w:type="dxa"/>
            <w:shd w:val="clear" w:color="auto" w:fill="004040"/>
          </w:tcPr>
          <w:p>
            <w:pPr>
              <w:spacing w:before="40" w:after="40"/>
            </w:pPr>
            <w:r>
              <w:rPr>
                <w:rFonts w:cs="Inter"/>
                <w:b/>
                <w:color w:val="FFFFFF"/>
                <w:sz w:val="18"/>
              </w:rPr>
              <w:t xml:space="preserve">Value</w:t>
            </w:r>
          </w:p>
        </w:tc>
        <w:tc>
          <w:tcPr>
            <w:tcW w:w="900" w:type="dxa"/>
            <w:shd w:val="clear" w:color="auto" w:fill="004040"/>
          </w:tcPr>
          <w:p>
            <w:pPr>
              <w:spacing w:before="40" w:after="40"/>
              <w:jc w:val="right"/>
            </w:pPr>
            <w:r>
              <w:rPr>
                <w:rFonts w:cs="Inter"/>
                <w:b/>
                <w:color w:val="FFFFFF"/>
                <w:sz w:val="18"/>
              </w:rPr>
              <w:t xml:space="preserve">Count</w:t>
            </w:r>
          </w:p>
        </w:tc>
        <w:tc>
          <w:tcPr>
            <w:tcW w:w="4828" w:type="dxa"/>
            <w:shd w:val="clear" w:color="auto" w:fill="004040"/>
          </w:tcPr>
          <w:p>
            <w:pPr>
              <w:spacing w:before="40" w:after="40"/>
            </w:pPr>
            <w:r>
              <w:rPr>
                <w:rFonts w:cs="Inter"/>
                <w:b/>
                <w:color w:val="FFFFFF"/>
                <w:sz w:val="18"/>
              </w:rPr>
              <w:t xml:space="preserve">Definition</w:t>
            </w:r>
          </w:p>
        </w:tc>
      </w:tr>
      <w:tr>
        <w:tc>
          <w:tcPr>
            <w:tcW w:w="3200" w:type="dxa"/>
            <w:tcBorders>
              <w:bottom w:val="single" w:sz="4" w:space="0" w:color="C9D1CE"/>
            </w:tcBorders>
          </w:tcPr>
          <w:p>
            <w:pPr>
              <w:spacing w:before="40" w:after="40"/>
            </w:pPr>
            <w:r>
              <w:rPr>
                <w:rFonts w:ascii="JetBrains Mono" w:hAnsi="JetBrains Mono" w:cs="JetBrains Mono"/>
                <w:sz w:val="19"/>
              </w:rPr>
              <w:t xml:space="preserve">in force</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568</w:t>
            </w:r>
          </w:p>
        </w:tc>
        <w:tc>
          <w:tcPr>
            <w:tcW w:w="4828" w:type="dxa"/>
            <w:tcBorders>
              <w:bottom w:val="single" w:sz="4" w:space="0" w:color="C9D1CE"/>
            </w:tcBorders>
          </w:tcPr>
          <w:p>
            <w:pPr>
              <w:spacing w:before="40" w:after="40"/>
            </w:pPr>
            <w:r>
              <w:rPr>
                <w:rFonts w:cs="Inter"/>
                <w:sz w:val="19"/>
              </w:rPr>
              <w:t xml:space="preserve">Currently applies.</w:t>
            </w:r>
          </w:p>
        </w:tc>
      </w:tr>
      <w:tr>
        <w:tc>
          <w:tcPr>
            <w:tcW w:w="3200" w:type="dxa"/>
            <w:tcBorders>
              <w:bottom w:val="single" w:sz="4" w:space="0" w:color="C9D1CE"/>
            </w:tcBorders>
          </w:tcPr>
          <w:p>
            <w:pPr>
              <w:spacing w:before="40" w:after="40"/>
            </w:pPr>
            <w:r>
              <w:rPr>
                <w:rFonts w:ascii="JetBrains Mono" w:hAnsi="JetBrains Mono" w:cs="JetBrains Mono"/>
                <w:sz w:val="19"/>
              </w:rPr>
              <w:t xml:space="preserve">phased-in</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40</w:t>
            </w:r>
          </w:p>
        </w:tc>
        <w:tc>
          <w:tcPr>
            <w:tcW w:w="4828" w:type="dxa"/>
            <w:tcBorders>
              <w:bottom w:val="single" w:sz="4" w:space="0" w:color="C9D1CE"/>
            </w:tcBorders>
          </w:tcPr>
          <w:p>
            <w:pPr>
              <w:spacing w:before="40" w:after="40"/>
            </w:pPr>
            <w:r>
              <w:rPr>
                <w:rFonts w:cs="Inter"/>
                <w:sz w:val="19"/>
              </w:rPr>
              <w:t xml:space="preserve">In force with obligations still being introduced on a published timetable.</w:t>
            </w:r>
          </w:p>
        </w:tc>
      </w:tr>
      <w:tr>
        <w:tc>
          <w:tcPr>
            <w:tcW w:w="3200" w:type="dxa"/>
            <w:tcBorders>
              <w:bottom w:val="single" w:sz="4" w:space="0" w:color="C9D1CE"/>
            </w:tcBorders>
          </w:tcPr>
          <w:p>
            <w:pPr>
              <w:spacing w:before="40" w:after="40"/>
            </w:pPr>
            <w:r>
              <w:rPr>
                <w:rFonts w:ascii="JetBrains Mono" w:hAnsi="JetBrains Mono" w:cs="JetBrains Mono"/>
                <w:sz w:val="19"/>
              </w:rPr>
              <w:t xml:space="preserve">proposed</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6</w:t>
            </w:r>
          </w:p>
        </w:tc>
        <w:tc>
          <w:tcPr>
            <w:tcW w:w="4828" w:type="dxa"/>
            <w:tcBorders>
              <w:bottom w:val="single" w:sz="4" w:space="0" w:color="C9D1CE"/>
            </w:tcBorders>
          </w:tcPr>
          <w:p>
            <w:pPr>
              <w:spacing w:before="40" w:after="40"/>
            </w:pPr>
            <w:r>
              <w:rPr>
                <w:rFonts w:cs="Inter"/>
                <w:sz w:val="19"/>
              </w:rPr>
              <w:t xml:space="preserve">Published but not yet in force.</w:t>
            </w:r>
          </w:p>
        </w:tc>
      </w:tr>
      <w:tr>
        <w:tc>
          <w:tcPr>
            <w:tcW w:w="3200" w:type="dxa"/>
            <w:tcBorders>
              <w:bottom w:val="single" w:sz="4" w:space="0" w:color="C9D1CE"/>
            </w:tcBorders>
          </w:tcPr>
          <w:p>
            <w:pPr>
              <w:spacing w:before="40" w:after="40"/>
            </w:pPr>
            <w:r>
              <w:rPr>
                <w:rFonts w:ascii="JetBrains Mono" w:hAnsi="JetBrains Mono" w:cs="JetBrains Mono"/>
                <w:sz w:val="19"/>
              </w:rPr>
              <w:t xml:space="preserve">retired</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5</w:t>
            </w:r>
          </w:p>
        </w:tc>
        <w:tc>
          <w:tcPr>
            <w:tcW w:w="4828" w:type="dxa"/>
            <w:tcBorders>
              <w:bottom w:val="single" w:sz="4" w:space="0" w:color="C9D1CE"/>
            </w:tcBorders>
          </w:tcPr>
          <w:p>
            <w:pPr>
              <w:spacing w:before="40" w:after="40"/>
            </w:pPr>
            <w:r>
              <w:rPr>
                <w:rFonts w:cs="Inter"/>
                <w:sz w:val="19"/>
              </w:rPr>
              <w:t xml:space="preserve">Withdrawn or superseded.</w:t>
            </w:r>
          </w:p>
        </w:tc>
      </w:tr>
    </w:tbl>
    <w:p>
      <w:pPr>
        <w:spacing w:after="120"/>
      </w:pPr>
    </w:p>
    <w:p>
      <w:pPr>
        <w:keepNext/>
        <w:keepLines/>
        <w:spacing w:before="240" w:after="60"/>
      </w:pPr>
      <w:r>
        <w:rPr>
          <w:rFonts w:ascii="JetBrains Mono" w:hAnsi="JetBrains Mono" w:cs="JetBrains Mono"/>
          <w:b/>
          <w:sz w:val="25"/>
        </w:rPr>
        <w:t xml:space="preserve">geographic_scope</w:t>
      </w:r>
    </w:p>
    <w:p>
      <w:pPr>
        <w:keepNext/>
        <w:keepLines/>
        <w:spacing w:before="0" w:after="60"/>
      </w:pPr>
      <w:r>
        <w:rPr>
          <w:rFonts w:ascii="JetBrains Mono" w:hAnsi="JetBrains Mono" w:cs="JetBrains Mono"/>
          <w:color w:val="6B8F8A"/>
          <w:sz w:val="17"/>
        </w:rPr>
        <w:t xml:space="preserve">String · coverage: 100%</w:t>
      </w:r>
    </w:p>
    <w:p>
      <w:pPr/>
      <w:r>
        <w:rPr>
          <w:rFonts w:cs="Inter"/>
        </w:rPr>
        <w:t xml:space="preserve">The geographic reach of the instrument.</w:t>
      </w:r>
    </w:p>
    <w:tbl>
      <w:tblPr>
        <w:tblW w:w="0" w:type="auto"/>
        <w:tblLayout w:type="fixed"/>
        <w:tblLook w:val="04A0" w:firstRow="1" w:lastRow="0" w:firstColumn="1" w:lastColumn="0" w:noHBand="0" w:noVBand="1"/>
      </w:tblPr>
      <w:tblGrid>
        <w:gridCol w:w="3200"/>
        <w:gridCol w:w="900"/>
        <w:gridCol w:w="4828"/>
      </w:tblGrid>
      <w:tr>
        <w:trPr>
          <w:tblHeader/>
        </w:trPr>
        <w:tc>
          <w:tcPr>
            <w:tcW w:w="3200" w:type="dxa"/>
            <w:shd w:val="clear" w:color="auto" w:fill="004040"/>
          </w:tcPr>
          <w:p>
            <w:pPr>
              <w:spacing w:before="40" w:after="40"/>
            </w:pPr>
            <w:r>
              <w:rPr>
                <w:rFonts w:cs="Inter"/>
                <w:b/>
                <w:color w:val="FFFFFF"/>
                <w:sz w:val="18"/>
              </w:rPr>
              <w:t xml:space="preserve">Value</w:t>
            </w:r>
          </w:p>
        </w:tc>
        <w:tc>
          <w:tcPr>
            <w:tcW w:w="900" w:type="dxa"/>
            <w:shd w:val="clear" w:color="auto" w:fill="004040"/>
          </w:tcPr>
          <w:p>
            <w:pPr>
              <w:spacing w:before="40" w:after="40"/>
              <w:jc w:val="right"/>
            </w:pPr>
            <w:r>
              <w:rPr>
                <w:rFonts w:cs="Inter"/>
                <w:b/>
                <w:color w:val="FFFFFF"/>
                <w:sz w:val="18"/>
              </w:rPr>
              <w:t xml:space="preserve">Count</w:t>
            </w:r>
          </w:p>
        </w:tc>
        <w:tc>
          <w:tcPr>
            <w:tcW w:w="4828" w:type="dxa"/>
            <w:shd w:val="clear" w:color="auto" w:fill="004040"/>
          </w:tcPr>
          <w:p>
            <w:pPr>
              <w:spacing w:before="40" w:after="40"/>
            </w:pPr>
            <w:r>
              <w:rPr>
                <w:rFonts w:cs="Inter"/>
                <w:b/>
                <w:color w:val="FFFFFF"/>
                <w:sz w:val="18"/>
              </w:rPr>
              <w:t xml:space="preserve">Definition</w:t>
            </w:r>
          </w:p>
        </w:tc>
      </w:tr>
      <w:tr>
        <w:tc>
          <w:tcPr>
            <w:tcW w:w="3200" w:type="dxa"/>
            <w:tcBorders>
              <w:bottom w:val="single" w:sz="4" w:space="0" w:color="C9D1CE"/>
            </w:tcBorders>
          </w:tcPr>
          <w:p>
            <w:pPr>
              <w:spacing w:before="40" w:after="40"/>
            </w:pPr>
            <w:r>
              <w:rPr>
                <w:rFonts w:ascii="JetBrains Mono" w:hAnsi="JetBrains Mono" w:cs="JetBrains Mono"/>
                <w:sz w:val="19"/>
              </w:rPr>
              <w:t xml:space="preserve">global-multilateral</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349</w:t>
            </w:r>
          </w:p>
        </w:tc>
        <w:tc>
          <w:tcPr>
            <w:tcW w:w="4828" w:type="dxa"/>
            <w:tcBorders>
              <w:bottom w:val="single" w:sz="4" w:space="0" w:color="C9D1CE"/>
            </w:tcBorders>
          </w:tcPr>
          <w:p>
            <w:pPr>
              <w:spacing w:before="40" w:after="40"/>
            </w:pPr>
            <w:r>
              <w:rPr>
                <w:rFonts w:cs="Inter"/>
                <w:sz w:val="19"/>
              </w:rPr>
              <w:t xml:space="preserve">Applies globally or across a multilateral membership.</w:t>
            </w:r>
          </w:p>
        </w:tc>
      </w:tr>
      <w:tr>
        <w:tc>
          <w:tcPr>
            <w:tcW w:w="3200" w:type="dxa"/>
            <w:tcBorders>
              <w:bottom w:val="single" w:sz="4" w:space="0" w:color="C9D1CE"/>
            </w:tcBorders>
          </w:tcPr>
          <w:p>
            <w:pPr>
              <w:spacing w:before="40" w:after="40"/>
            </w:pPr>
            <w:r>
              <w:rPr>
                <w:rFonts w:ascii="JetBrains Mono" w:hAnsi="JetBrains Mono" w:cs="JetBrains Mono"/>
                <w:sz w:val="19"/>
              </w:rPr>
              <w:t xml:space="preserve">regional</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81</w:t>
            </w:r>
          </w:p>
        </w:tc>
        <w:tc>
          <w:tcPr>
            <w:tcW w:w="4828" w:type="dxa"/>
            <w:tcBorders>
              <w:bottom w:val="single" w:sz="4" w:space="0" w:color="C9D1CE"/>
            </w:tcBorders>
          </w:tcPr>
          <w:p>
            <w:pPr>
              <w:spacing w:before="40" w:after="40"/>
            </w:pPr>
            <w:r>
              <w:rPr>
                <w:rFonts w:cs="Inter"/>
                <w:sz w:val="19"/>
              </w:rPr>
              <w:t xml:space="preserve">Applies across a defined region.</w:t>
            </w:r>
          </w:p>
        </w:tc>
      </w:tr>
      <w:tr>
        <w:tc>
          <w:tcPr>
            <w:tcW w:w="3200" w:type="dxa"/>
            <w:tcBorders>
              <w:bottom w:val="single" w:sz="4" w:space="0" w:color="C9D1CE"/>
            </w:tcBorders>
          </w:tcPr>
          <w:p>
            <w:pPr>
              <w:spacing w:before="40" w:after="40"/>
            </w:pPr>
            <w:r>
              <w:rPr>
                <w:rFonts w:ascii="JetBrains Mono" w:hAnsi="JetBrains Mono" w:cs="JetBrains Mono"/>
                <w:sz w:val="19"/>
              </w:rPr>
              <w:t xml:space="preserve">national</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167</w:t>
            </w:r>
          </w:p>
        </w:tc>
        <w:tc>
          <w:tcPr>
            <w:tcW w:w="4828" w:type="dxa"/>
            <w:tcBorders>
              <w:bottom w:val="single" w:sz="4" w:space="0" w:color="C9D1CE"/>
            </w:tcBorders>
          </w:tcPr>
          <w:p>
            <w:pPr>
              <w:spacing w:before="40" w:after="40"/>
            </w:pPr>
            <w:r>
              <w:rPr>
                <w:rFonts w:cs="Inter"/>
                <w:sz w:val="19"/>
              </w:rPr>
              <w:t xml:space="preserve">Applies within one country.</w:t>
            </w:r>
          </w:p>
        </w:tc>
      </w:tr>
      <w:tr>
        <w:tc>
          <w:tcPr>
            <w:tcW w:w="3200" w:type="dxa"/>
            <w:tcBorders>
              <w:bottom w:val="single" w:sz="4" w:space="0" w:color="C9D1CE"/>
            </w:tcBorders>
          </w:tcPr>
          <w:p>
            <w:pPr>
              <w:spacing w:before="40" w:after="40"/>
            </w:pPr>
            <w:r>
              <w:rPr>
                <w:rFonts w:ascii="JetBrains Mono" w:hAnsi="JetBrains Mono" w:cs="JetBrains Mono"/>
                <w:sz w:val="19"/>
              </w:rPr>
              <w:t xml:space="preserve">sectoral</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22</w:t>
            </w:r>
          </w:p>
        </w:tc>
        <w:tc>
          <w:tcPr>
            <w:tcW w:w="4828" w:type="dxa"/>
            <w:tcBorders>
              <w:bottom w:val="single" w:sz="4" w:space="0" w:color="C9D1CE"/>
            </w:tcBorders>
          </w:tcPr>
          <w:p>
            <w:pPr>
              <w:spacing w:before="40" w:after="40"/>
            </w:pPr>
            <w:r>
              <w:rPr>
                <w:rFonts w:cs="Inter"/>
                <w:sz w:val="19"/>
              </w:rPr>
              <w:t xml:space="preserve">Bounded by a sector rather than by geography.</w:t>
            </w:r>
          </w:p>
        </w:tc>
      </w:tr>
    </w:tbl>
    <w:p>
      <w:pPr>
        <w:spacing w:after="120"/>
      </w:pPr>
    </w:p>
    <w:p>
      <w:pPr>
        <w:keepNext/>
        <w:keepLines/>
        <w:spacing w:before="240" w:after="60"/>
      </w:pPr>
      <w:r>
        <w:rPr>
          <w:rFonts w:ascii="JetBrains Mono" w:hAnsi="JetBrains Mono" w:cs="JetBrains Mono"/>
          <w:b/>
          <w:sz w:val="25"/>
        </w:rPr>
        <w:t xml:space="preserve">instrument_type</w:t>
      </w:r>
    </w:p>
    <w:p>
      <w:pPr>
        <w:keepNext/>
        <w:keepLines/>
        <w:spacing w:before="0" w:after="60"/>
      </w:pPr>
      <w:r>
        <w:rPr>
          <w:rFonts w:ascii="JetBrains Mono" w:hAnsi="JetBrains Mono" w:cs="JetBrains Mono"/>
          <w:color w:val="6B8F8A"/>
          <w:sz w:val="17"/>
        </w:rPr>
        <w:t xml:space="preserve">String · coverage: 100%</w:t>
      </w:r>
    </w:p>
    <w:p>
      <w:pPr/>
      <w:r>
        <w:rPr>
          <w:rFonts w:cs="Inter"/>
        </w:rPr>
        <w:t xml:space="preserve">The form the instrument takes.</w:t>
      </w:r>
    </w:p>
    <w:tbl>
      <w:tblPr>
        <w:tblW w:w="0" w:type="auto"/>
        <w:tblLayout w:type="fixed"/>
        <w:tblLook w:val="04A0" w:firstRow="1" w:lastRow="0" w:firstColumn="1" w:lastColumn="0" w:noHBand="0" w:noVBand="1"/>
      </w:tblPr>
      <w:tblGrid>
        <w:gridCol w:w="3200"/>
        <w:gridCol w:w="900"/>
        <w:gridCol w:w="4828"/>
      </w:tblGrid>
      <w:tr>
        <w:trPr>
          <w:tblHeader/>
        </w:trPr>
        <w:tc>
          <w:tcPr>
            <w:tcW w:w="3200" w:type="dxa"/>
            <w:shd w:val="clear" w:color="auto" w:fill="004040"/>
          </w:tcPr>
          <w:p>
            <w:pPr>
              <w:spacing w:before="40" w:after="40"/>
            </w:pPr>
            <w:r>
              <w:rPr>
                <w:rFonts w:cs="Inter"/>
                <w:b/>
                <w:color w:val="FFFFFF"/>
                <w:sz w:val="18"/>
              </w:rPr>
              <w:t xml:space="preserve">Value</w:t>
            </w:r>
          </w:p>
        </w:tc>
        <w:tc>
          <w:tcPr>
            <w:tcW w:w="900" w:type="dxa"/>
            <w:shd w:val="clear" w:color="auto" w:fill="004040"/>
          </w:tcPr>
          <w:p>
            <w:pPr>
              <w:spacing w:before="40" w:after="40"/>
              <w:jc w:val="right"/>
            </w:pPr>
            <w:r>
              <w:rPr>
                <w:rFonts w:cs="Inter"/>
                <w:b/>
                <w:color w:val="FFFFFF"/>
                <w:sz w:val="18"/>
              </w:rPr>
              <w:t xml:space="preserve">Count</w:t>
            </w:r>
          </w:p>
        </w:tc>
        <w:tc>
          <w:tcPr>
            <w:tcW w:w="4828" w:type="dxa"/>
            <w:shd w:val="clear" w:color="auto" w:fill="004040"/>
          </w:tcPr>
          <w:p>
            <w:pPr>
              <w:spacing w:before="40" w:after="40"/>
            </w:pPr>
            <w:r>
              <w:rPr>
                <w:rFonts w:cs="Inter"/>
                <w:b/>
                <w:color w:val="FFFFFF"/>
                <w:sz w:val="18"/>
              </w:rPr>
              <w:t xml:space="preserve">Definition</w:t>
            </w:r>
          </w:p>
        </w:tc>
      </w:tr>
      <w:tr>
        <w:tc>
          <w:tcPr>
            <w:tcW w:w="3200" w:type="dxa"/>
            <w:tcBorders>
              <w:bottom w:val="single" w:sz="4" w:space="0" w:color="C9D1CE"/>
            </w:tcBorders>
          </w:tcPr>
          <w:p>
            <w:pPr>
              <w:spacing w:before="40" w:after="40"/>
            </w:pPr>
            <w:r>
              <w:rPr>
                <w:rFonts w:ascii="JetBrains Mono" w:hAnsi="JetBrains Mono" w:cs="JetBrains Mono"/>
                <w:sz w:val="19"/>
              </w:rPr>
              <w:t xml:space="preserve">binding-regulation</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133</w:t>
            </w:r>
          </w:p>
        </w:tc>
        <w:tc>
          <w:tcPr>
            <w:tcW w:w="4828" w:type="dxa"/>
            <w:tcBorders>
              <w:bottom w:val="single" w:sz="4" w:space="0" w:color="C9D1CE"/>
            </w:tcBorders>
          </w:tcPr>
          <w:p>
            <w:pPr>
              <w:spacing w:before="40" w:after="40"/>
            </w:pPr>
            <w:r>
              <w:rPr>
                <w:rFonts w:cs="Inter"/>
                <w:sz w:val="19"/>
              </w:rPr>
              <w:t xml:space="preserve">Law issued by a public authority.</w:t>
            </w:r>
          </w:p>
        </w:tc>
      </w:tr>
      <w:tr>
        <w:tc>
          <w:tcPr>
            <w:tcW w:w="3200" w:type="dxa"/>
            <w:tcBorders>
              <w:bottom w:val="single" w:sz="4" w:space="0" w:color="C9D1CE"/>
            </w:tcBorders>
          </w:tcPr>
          <w:p>
            <w:pPr>
              <w:spacing w:before="40" w:after="40"/>
            </w:pPr>
            <w:r>
              <w:rPr>
                <w:rFonts w:ascii="JetBrains Mono" w:hAnsi="JetBrains Mono" w:cs="JetBrains Mono"/>
                <w:sz w:val="19"/>
              </w:rPr>
              <w:t xml:space="preserve">voluntary-consensus-standard</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122</w:t>
            </w:r>
          </w:p>
        </w:tc>
        <w:tc>
          <w:tcPr>
            <w:tcW w:w="4828" w:type="dxa"/>
            <w:tcBorders>
              <w:bottom w:val="single" w:sz="4" w:space="0" w:color="C9D1CE"/>
            </w:tcBorders>
          </w:tcPr>
          <w:p>
            <w:pPr>
              <w:spacing w:before="40" w:after="40"/>
            </w:pPr>
            <w:r>
              <w:rPr>
                <w:rFonts w:cs="Inter"/>
                <w:sz w:val="19"/>
              </w:rPr>
              <w:t xml:space="preserve">A standard developed by a standards body through a consensus process.</w:t>
            </w:r>
          </w:p>
        </w:tc>
      </w:tr>
      <w:tr>
        <w:tc>
          <w:tcPr>
            <w:tcW w:w="3200" w:type="dxa"/>
            <w:tcBorders>
              <w:bottom w:val="single" w:sz="4" w:space="0" w:color="C9D1CE"/>
            </w:tcBorders>
          </w:tcPr>
          <w:p>
            <w:pPr>
              <w:spacing w:before="40" w:after="40"/>
            </w:pPr>
            <w:r>
              <w:rPr>
                <w:rFonts w:ascii="JetBrains Mono" w:hAnsi="JetBrains Mono" w:cs="JetBrains Mono"/>
                <w:sz w:val="19"/>
              </w:rPr>
              <w:t xml:space="preserve">private-industry-scheme</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113</w:t>
            </w:r>
          </w:p>
        </w:tc>
        <w:tc>
          <w:tcPr>
            <w:tcW w:w="4828" w:type="dxa"/>
            <w:tcBorders>
              <w:bottom w:val="single" w:sz="4" w:space="0" w:color="C9D1CE"/>
            </w:tcBorders>
          </w:tcPr>
          <w:p>
            <w:pPr>
              <w:spacing w:before="40" w:after="40"/>
            </w:pPr>
            <w:r>
              <w:rPr>
                <w:rFonts w:cs="Inter"/>
                <w:sz w:val="19"/>
              </w:rPr>
              <w:t xml:space="preserve">A scheme run by a company or a consortium of companies.</w:t>
            </w:r>
          </w:p>
        </w:tc>
      </w:tr>
      <w:tr>
        <w:tc>
          <w:tcPr>
            <w:tcW w:w="3200" w:type="dxa"/>
            <w:tcBorders>
              <w:bottom w:val="single" w:sz="4" w:space="0" w:color="C9D1CE"/>
            </w:tcBorders>
          </w:tcPr>
          <w:p>
            <w:pPr>
              <w:spacing w:before="40" w:after="40"/>
            </w:pPr>
            <w:r>
              <w:rPr>
                <w:rFonts w:ascii="JetBrains Mono" w:hAnsi="JetBrains Mono" w:cs="JetBrains Mono"/>
                <w:sz w:val="19"/>
              </w:rPr>
              <w:t xml:space="preserve">govt-referenced-standard</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101</w:t>
            </w:r>
          </w:p>
        </w:tc>
        <w:tc>
          <w:tcPr>
            <w:tcW w:w="4828" w:type="dxa"/>
            <w:tcBorders>
              <w:bottom w:val="single" w:sz="4" w:space="0" w:color="C9D1CE"/>
            </w:tcBorders>
          </w:tcPr>
          <w:p>
            <w:pPr>
              <w:spacing w:before="40" w:after="40"/>
            </w:pPr>
            <w:r>
              <w:rPr>
                <w:rFonts w:cs="Inter"/>
                <w:sz w:val="19"/>
              </w:rPr>
              <w:t xml:space="preserve">Not law itself, but operated by a government or formally referenced in law.</w:t>
            </w:r>
          </w:p>
        </w:tc>
      </w:tr>
      <w:tr>
        <w:tc>
          <w:tcPr>
            <w:tcW w:w="3200" w:type="dxa"/>
            <w:tcBorders>
              <w:bottom w:val="single" w:sz="4" w:space="0" w:color="C9D1CE"/>
            </w:tcBorders>
          </w:tcPr>
          <w:p>
            <w:pPr>
              <w:spacing w:before="40" w:after="40"/>
            </w:pPr>
            <w:r>
              <w:rPr>
                <w:rFonts w:ascii="JetBrains Mono" w:hAnsi="JetBrains Mono" w:cs="JetBrains Mono"/>
                <w:sz w:val="19"/>
              </w:rPr>
              <w:t xml:space="preserve">NGO-multistakeholder-scheme</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98</w:t>
            </w:r>
          </w:p>
        </w:tc>
        <w:tc>
          <w:tcPr>
            <w:tcW w:w="4828" w:type="dxa"/>
            <w:tcBorders>
              <w:bottom w:val="single" w:sz="4" w:space="0" w:color="C9D1CE"/>
            </w:tcBorders>
          </w:tcPr>
          <w:p>
            <w:pPr>
              <w:spacing w:before="40" w:after="40"/>
            </w:pPr>
            <w:r>
              <w:rPr>
                <w:rFonts w:cs="Inter"/>
                <w:sz w:val="19"/>
              </w:rPr>
              <w:t xml:space="preserve">A scheme run by a non-governmental or multistakeholder body.</w:t>
            </w:r>
          </w:p>
        </w:tc>
      </w:tr>
      <w:tr>
        <w:tc>
          <w:tcPr>
            <w:tcW w:w="3200" w:type="dxa"/>
            <w:tcBorders>
              <w:bottom w:val="single" w:sz="4" w:space="0" w:color="C9D1CE"/>
            </w:tcBorders>
          </w:tcPr>
          <w:p>
            <w:pPr>
              <w:spacing w:before="40" w:after="40"/>
            </w:pPr>
            <w:r>
              <w:rPr>
                <w:rFonts w:ascii="JetBrains Mono" w:hAnsi="JetBrains Mono" w:cs="JetBrains Mono"/>
                <w:sz w:val="19"/>
              </w:rPr>
              <w:t xml:space="preserve">accreditation-or-mutual-recognition-arrangement</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34</w:t>
            </w:r>
          </w:p>
        </w:tc>
        <w:tc>
          <w:tcPr>
            <w:tcW w:w="4828" w:type="dxa"/>
            <w:tcBorders>
              <w:bottom w:val="single" w:sz="4" w:space="0" w:color="C9D1CE"/>
            </w:tcBorders>
          </w:tcPr>
          <w:p>
            <w:pPr>
              <w:spacing w:before="40" w:after="40"/>
            </w:pPr>
            <w:r>
              <w:rPr>
                <w:rFonts w:cs="Inter"/>
                <w:sz w:val="19"/>
              </w:rPr>
              <w:t xml:space="preserve">An arrangement by which bodies accredit one another or accept one another's decisions.</w:t>
            </w:r>
          </w:p>
        </w:tc>
      </w:tr>
      <w:tr>
        <w:tc>
          <w:tcPr>
            <w:tcW w:w="3200" w:type="dxa"/>
            <w:tcBorders>
              <w:bottom w:val="single" w:sz="4" w:space="0" w:color="C9D1CE"/>
            </w:tcBorders>
          </w:tcPr>
          <w:p>
            <w:pPr>
              <w:spacing w:before="40" w:after="40"/>
            </w:pPr>
            <w:r>
              <w:rPr>
                <w:rFonts w:ascii="JetBrains Mono" w:hAnsi="JetBrains Mono" w:cs="JetBrains Mono"/>
                <w:sz w:val="19"/>
              </w:rPr>
              <w:t xml:space="preserve">treaty-instrument</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18</w:t>
            </w:r>
          </w:p>
        </w:tc>
        <w:tc>
          <w:tcPr>
            <w:tcW w:w="4828" w:type="dxa"/>
            <w:tcBorders>
              <w:bottom w:val="single" w:sz="4" w:space="0" w:color="C9D1CE"/>
            </w:tcBorders>
          </w:tcPr>
          <w:p>
            <w:pPr>
              <w:spacing w:before="40" w:after="40"/>
            </w:pPr>
            <w:r>
              <w:rPr>
                <w:rFonts w:cs="Inter"/>
                <w:sz w:val="19"/>
              </w:rPr>
              <w:t xml:space="preserve">A treaty or other international instrument. Non binding declarations and model laws also sit here, for want of a closer category.</w:t>
            </w:r>
          </w:p>
        </w:tc>
      </w:tr>
    </w:tbl>
    <w:p>
      <w:pPr>
        <w:spacing w:after="120"/>
      </w:pPr>
    </w:p>
    <w:p>
      <w:pPr>
        <w:keepNext/>
        <w:keepLines/>
        <w:spacing w:before="240" w:after="60"/>
      </w:pPr>
      <w:r>
        <w:rPr>
          <w:rFonts w:ascii="JetBrains Mono" w:hAnsi="JetBrains Mono" w:cs="JetBrains Mono"/>
          <w:b/>
          <w:sz w:val="25"/>
        </w:rPr>
        <w:t xml:space="preserve">bindingness</w:t>
      </w:r>
    </w:p>
    <w:p>
      <w:pPr>
        <w:keepNext/>
        <w:keepLines/>
        <w:spacing w:before="0" w:after="60"/>
      </w:pPr>
      <w:r>
        <w:rPr>
          <w:rFonts w:ascii="JetBrains Mono" w:hAnsi="JetBrains Mono" w:cs="JetBrains Mono"/>
          <w:color w:val="6B8F8A"/>
          <w:sz w:val="17"/>
        </w:rPr>
        <w:t xml:space="preserve">String · coverage: 100%</w:t>
      </w:r>
    </w:p>
    <w:p>
      <w:pPr/>
      <w:r>
        <w:rPr>
          <w:rFonts w:cs="Inter"/>
        </w:rPr>
        <w:t xml:space="preserve">The legal force with which the instrument applies. The test is what triggers the obligation, not how strongly it is felt, which means some market access regulations are coded de facto rather than mandatory.</w:t>
      </w:r>
    </w:p>
    <w:tbl>
      <w:tblPr>
        <w:tblW w:w="0" w:type="auto"/>
        <w:tblLayout w:type="fixed"/>
        <w:tblLook w:val="04A0" w:firstRow="1" w:lastRow="0" w:firstColumn="1" w:lastColumn="0" w:noHBand="0" w:noVBand="1"/>
      </w:tblPr>
      <w:tblGrid>
        <w:gridCol w:w="3200"/>
        <w:gridCol w:w="900"/>
        <w:gridCol w:w="4828"/>
      </w:tblGrid>
      <w:tr>
        <w:trPr>
          <w:tblHeader/>
        </w:trPr>
        <w:tc>
          <w:tcPr>
            <w:tcW w:w="3200" w:type="dxa"/>
            <w:shd w:val="clear" w:color="auto" w:fill="004040"/>
          </w:tcPr>
          <w:p>
            <w:pPr>
              <w:spacing w:before="40" w:after="40"/>
            </w:pPr>
            <w:r>
              <w:rPr>
                <w:rFonts w:cs="Inter"/>
                <w:b/>
                <w:color w:val="FFFFFF"/>
                <w:sz w:val="18"/>
              </w:rPr>
              <w:t xml:space="preserve">Value</w:t>
            </w:r>
          </w:p>
        </w:tc>
        <w:tc>
          <w:tcPr>
            <w:tcW w:w="900" w:type="dxa"/>
            <w:shd w:val="clear" w:color="auto" w:fill="004040"/>
          </w:tcPr>
          <w:p>
            <w:pPr>
              <w:spacing w:before="40" w:after="40"/>
              <w:jc w:val="right"/>
            </w:pPr>
            <w:r>
              <w:rPr>
                <w:rFonts w:cs="Inter"/>
                <w:b/>
                <w:color w:val="FFFFFF"/>
                <w:sz w:val="18"/>
              </w:rPr>
              <w:t xml:space="preserve">Count</w:t>
            </w:r>
          </w:p>
        </w:tc>
        <w:tc>
          <w:tcPr>
            <w:tcW w:w="4828" w:type="dxa"/>
            <w:shd w:val="clear" w:color="auto" w:fill="004040"/>
          </w:tcPr>
          <w:p>
            <w:pPr>
              <w:spacing w:before="40" w:after="40"/>
            </w:pPr>
            <w:r>
              <w:rPr>
                <w:rFonts w:cs="Inter"/>
                <w:b/>
                <w:color w:val="FFFFFF"/>
                <w:sz w:val="18"/>
              </w:rPr>
              <w:t xml:space="preserve">Definition</w:t>
            </w:r>
          </w:p>
        </w:tc>
      </w:tr>
      <w:tr>
        <w:tc>
          <w:tcPr>
            <w:tcW w:w="3200" w:type="dxa"/>
            <w:tcBorders>
              <w:bottom w:val="single" w:sz="4" w:space="0" w:color="C9D1CE"/>
            </w:tcBorders>
          </w:tcPr>
          <w:p>
            <w:pPr>
              <w:spacing w:before="40" w:after="40"/>
            </w:pPr>
            <w:r>
              <w:rPr>
                <w:rFonts w:ascii="JetBrains Mono" w:hAnsi="JetBrains Mono" w:cs="JetBrains Mono"/>
                <w:sz w:val="19"/>
              </w:rPr>
              <w:t xml:space="preserve">mandatory</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135</w:t>
            </w:r>
          </w:p>
        </w:tc>
        <w:tc>
          <w:tcPr>
            <w:tcW w:w="4828" w:type="dxa"/>
            <w:tcBorders>
              <w:bottom w:val="single" w:sz="4" w:space="0" w:color="C9D1CE"/>
            </w:tcBorders>
          </w:tcPr>
          <w:p>
            <w:pPr>
              <w:spacing w:before="40" w:after="40"/>
            </w:pPr>
            <w:r>
              <w:rPr>
                <w:rFonts w:cs="Inter"/>
                <w:sz w:val="19"/>
              </w:rPr>
              <w:t xml:space="preserve">Binds an actor by operation of law regardless of any market choice, such as a horizontal regulation or a treaty binding on ratifying states.</w:t>
            </w:r>
          </w:p>
        </w:tc>
      </w:tr>
      <w:tr>
        <w:tc>
          <w:tcPr>
            <w:tcW w:w="3200" w:type="dxa"/>
            <w:tcBorders>
              <w:bottom w:val="single" w:sz="4" w:space="0" w:color="C9D1CE"/>
            </w:tcBorders>
          </w:tcPr>
          <w:p>
            <w:pPr>
              <w:spacing w:before="40" w:after="40"/>
            </w:pPr>
            <w:r>
              <w:rPr>
                <w:rFonts w:ascii="JetBrains Mono" w:hAnsi="JetBrains Mono" w:cs="JetBrains Mono"/>
                <w:sz w:val="19"/>
              </w:rPr>
              <w:t xml:space="preserve">de-facto-required-for-market-access</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157</w:t>
            </w:r>
          </w:p>
        </w:tc>
        <w:tc>
          <w:tcPr>
            <w:tcW w:w="4828" w:type="dxa"/>
            <w:tcBorders>
              <w:bottom w:val="single" w:sz="4" w:space="0" w:color="C9D1CE"/>
            </w:tcBorders>
          </w:tcPr>
          <w:p>
            <w:pPr>
              <w:spacing w:before="40" w:after="40"/>
            </w:pPr>
            <w:r>
              <w:rPr>
                <w:rFonts w:cs="Inter"/>
                <w:sz w:val="19"/>
              </w:rPr>
              <w:t xml:space="preserve">Compliance is not universal law but is triggered by choosing to place goods or services on a specific market, or is commercially unavoidable.</w:t>
            </w:r>
          </w:p>
        </w:tc>
      </w:tr>
      <w:tr>
        <w:tc>
          <w:tcPr>
            <w:tcW w:w="3200" w:type="dxa"/>
            <w:tcBorders>
              <w:bottom w:val="single" w:sz="4" w:space="0" w:color="C9D1CE"/>
            </w:tcBorders>
          </w:tcPr>
          <w:p>
            <w:pPr>
              <w:spacing w:before="40" w:after="40"/>
            </w:pPr>
            <w:r>
              <w:rPr>
                <w:rFonts w:ascii="JetBrains Mono" w:hAnsi="JetBrains Mono" w:cs="JetBrains Mono"/>
                <w:sz w:val="19"/>
              </w:rPr>
              <w:t xml:space="preserve">voluntary</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327</w:t>
            </w:r>
          </w:p>
        </w:tc>
        <w:tc>
          <w:tcPr>
            <w:tcW w:w="4828" w:type="dxa"/>
            <w:tcBorders>
              <w:bottom w:val="single" w:sz="4" w:space="0" w:color="C9D1CE"/>
            </w:tcBorders>
          </w:tcPr>
          <w:p>
            <w:pPr>
              <w:spacing w:before="40" w:after="40"/>
            </w:pPr>
            <w:r>
              <w:rPr>
                <w:rFonts w:cs="Inter"/>
                <w:sz w:val="19"/>
              </w:rPr>
              <w:t xml:space="preserve">Adoption is optional, with no legal or market access gate.</w:t>
            </w:r>
          </w:p>
        </w:tc>
      </w:tr>
    </w:tbl>
    <w:p>
      <w:pPr>
        <w:spacing w:after="120"/>
      </w:pPr>
    </w:p>
    <w:p>
      <w:pPr>
        <w:keepNext/>
        <w:keepLines/>
        <w:spacing w:before="240" w:after="60"/>
      </w:pPr>
      <w:r>
        <w:rPr>
          <w:rFonts w:ascii="JetBrains Mono" w:hAnsi="JetBrains Mono" w:cs="JetBrains Mono"/>
          <w:b/>
          <w:sz w:val="25"/>
        </w:rPr>
        <w:t xml:space="preserve">adoption_driver</w:t>
      </w:r>
    </w:p>
    <w:p>
      <w:pPr>
        <w:keepNext/>
        <w:keepLines/>
        <w:spacing w:before="0" w:after="60"/>
      </w:pPr>
      <w:r>
        <w:rPr>
          <w:rFonts w:ascii="JetBrains Mono" w:hAnsi="JetBrains Mono" w:cs="JetBrains Mono"/>
          <w:color w:val="6B8F8A"/>
          <w:sz w:val="17"/>
        </w:rPr>
        <w:t xml:space="preserve">String · coverage: 100%</w:t>
      </w:r>
    </w:p>
    <w:p>
      <w:pPr/>
      <w:r>
        <w:rPr>
          <w:rFonts w:cs="Inter"/>
        </w:rPr>
        <w:t xml:space="preserve">What drives uptake of the instrument. Separate from bindingness, which records legal form rather than the reason for uptake: an instrument can be voluntary in form yet mandate-driven in uptake where a law points actors toward it.</w:t>
      </w:r>
    </w:p>
    <w:tbl>
      <w:tblPr>
        <w:tblW w:w="0" w:type="auto"/>
        <w:tblLayout w:type="fixed"/>
        <w:tblLook w:val="04A0" w:firstRow="1" w:lastRow="0" w:firstColumn="1" w:lastColumn="0" w:noHBand="0" w:noVBand="1"/>
      </w:tblPr>
      <w:tblGrid>
        <w:gridCol w:w="3200"/>
        <w:gridCol w:w="900"/>
        <w:gridCol w:w="4828"/>
      </w:tblGrid>
      <w:tr>
        <w:trPr>
          <w:tblHeader/>
        </w:trPr>
        <w:tc>
          <w:tcPr>
            <w:tcW w:w="3200" w:type="dxa"/>
            <w:shd w:val="clear" w:color="auto" w:fill="004040"/>
          </w:tcPr>
          <w:p>
            <w:pPr>
              <w:spacing w:before="40" w:after="40"/>
            </w:pPr>
            <w:r>
              <w:rPr>
                <w:rFonts w:cs="Inter"/>
                <w:b/>
                <w:color w:val="FFFFFF"/>
                <w:sz w:val="18"/>
              </w:rPr>
              <w:t xml:space="preserve">Value</w:t>
            </w:r>
          </w:p>
        </w:tc>
        <w:tc>
          <w:tcPr>
            <w:tcW w:w="900" w:type="dxa"/>
            <w:shd w:val="clear" w:color="auto" w:fill="004040"/>
          </w:tcPr>
          <w:p>
            <w:pPr>
              <w:spacing w:before="40" w:after="40"/>
              <w:jc w:val="right"/>
            </w:pPr>
            <w:r>
              <w:rPr>
                <w:rFonts w:cs="Inter"/>
                <w:b/>
                <w:color w:val="FFFFFF"/>
                <w:sz w:val="18"/>
              </w:rPr>
              <w:t xml:space="preserve">Count</w:t>
            </w:r>
          </w:p>
        </w:tc>
        <w:tc>
          <w:tcPr>
            <w:tcW w:w="4828" w:type="dxa"/>
            <w:shd w:val="clear" w:color="auto" w:fill="004040"/>
          </w:tcPr>
          <w:p>
            <w:pPr>
              <w:spacing w:before="40" w:after="40"/>
            </w:pPr>
            <w:r>
              <w:rPr>
                <w:rFonts w:cs="Inter"/>
                <w:b/>
                <w:color w:val="FFFFFF"/>
                <w:sz w:val="18"/>
              </w:rPr>
              <w:t xml:space="preserve">Definition</w:t>
            </w:r>
          </w:p>
        </w:tc>
      </w:tr>
      <w:tr>
        <w:tc>
          <w:tcPr>
            <w:tcW w:w="3200" w:type="dxa"/>
            <w:tcBorders>
              <w:bottom w:val="single" w:sz="4" w:space="0" w:color="C9D1CE"/>
            </w:tcBorders>
          </w:tcPr>
          <w:p>
            <w:pPr>
              <w:spacing w:before="40" w:after="40"/>
            </w:pPr>
            <w:r>
              <w:rPr>
                <w:rFonts w:ascii="JetBrains Mono" w:hAnsi="JetBrains Mono" w:cs="JetBrains Mono"/>
                <w:sz w:val="19"/>
              </w:rPr>
              <w:t xml:space="preserve">mandate-driven</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198</w:t>
            </w:r>
          </w:p>
        </w:tc>
        <w:tc>
          <w:tcPr>
            <w:tcW w:w="4828" w:type="dxa"/>
            <w:tcBorders>
              <w:bottom w:val="single" w:sz="4" w:space="0" w:color="C9D1CE"/>
            </w:tcBorders>
          </w:tcPr>
          <w:p>
            <w:pPr>
              <w:spacing w:before="40" w:after="40"/>
            </w:pPr>
            <w:r>
              <w:rPr>
                <w:rFonts w:cs="Inter"/>
                <w:sz w:val="19"/>
              </w:rPr>
              <w:t xml:space="preserve">A law or regulation prompts its use.</w:t>
            </w:r>
          </w:p>
        </w:tc>
      </w:tr>
      <w:tr>
        <w:tc>
          <w:tcPr>
            <w:tcW w:w="3200" w:type="dxa"/>
            <w:tcBorders>
              <w:bottom w:val="single" w:sz="4" w:space="0" w:color="C9D1CE"/>
            </w:tcBorders>
          </w:tcPr>
          <w:p>
            <w:pPr>
              <w:spacing w:before="40" w:after="40"/>
            </w:pPr>
            <w:r>
              <w:rPr>
                <w:rFonts w:ascii="JetBrains Mono" w:hAnsi="JetBrains Mono" w:cs="JetBrains Mono"/>
                <w:sz w:val="19"/>
              </w:rPr>
              <w:t xml:space="preserve">market-driven</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260</w:t>
            </w:r>
          </w:p>
        </w:tc>
        <w:tc>
          <w:tcPr>
            <w:tcW w:w="4828" w:type="dxa"/>
            <w:tcBorders>
              <w:bottom w:val="single" w:sz="4" w:space="0" w:color="C9D1CE"/>
            </w:tcBorders>
          </w:tcPr>
          <w:p>
            <w:pPr>
              <w:spacing w:before="40" w:after="40"/>
            </w:pPr>
            <w:r>
              <w:rPr>
                <w:rFonts w:cs="Inter"/>
                <w:sz w:val="19"/>
              </w:rPr>
              <w:t xml:space="preserve">Commercial demand prompts its use.</w:t>
            </w:r>
          </w:p>
        </w:tc>
      </w:tr>
      <w:tr>
        <w:tc>
          <w:tcPr>
            <w:tcW w:w="3200" w:type="dxa"/>
            <w:tcBorders>
              <w:bottom w:val="single" w:sz="4" w:space="0" w:color="C9D1CE"/>
            </w:tcBorders>
          </w:tcPr>
          <w:p>
            <w:pPr>
              <w:spacing w:before="40" w:after="40"/>
            </w:pPr>
            <w:r>
              <w:rPr>
                <w:rFonts w:ascii="JetBrains Mono" w:hAnsi="JetBrains Mono" w:cs="JetBrains Mono"/>
                <w:sz w:val="19"/>
              </w:rPr>
              <w:t xml:space="preserve">hybrid</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161</w:t>
            </w:r>
          </w:p>
        </w:tc>
        <w:tc>
          <w:tcPr>
            <w:tcW w:w="4828" w:type="dxa"/>
            <w:tcBorders>
              <w:bottom w:val="single" w:sz="4" w:space="0" w:color="C9D1CE"/>
            </w:tcBorders>
          </w:tcPr>
          <w:p>
            <w:pPr>
              <w:spacing w:before="40" w:after="40"/>
            </w:pPr>
            <w:r>
              <w:rPr>
                <w:rFonts w:cs="Inter"/>
                <w:sz w:val="19"/>
              </w:rPr>
              <w:t xml:space="preserve">Both forces are relevant.</w:t>
            </w:r>
          </w:p>
        </w:tc>
      </w:tr>
    </w:tbl>
    <w:p>
      <w:pPr>
        <w:spacing w:after="120"/>
      </w:pPr>
    </w:p>
    <w:p>
      <w:pPr>
        <w:keepNext/>
        <w:keepLines/>
        <w:spacing w:before="240" w:after="60"/>
      </w:pPr>
      <w:r>
        <w:rPr>
          <w:rFonts w:ascii="JetBrains Mono" w:hAnsi="JetBrains Mono" w:cs="JetBrains Mono"/>
          <w:b/>
          <w:sz w:val="25"/>
        </w:rPr>
        <w:t xml:space="preserve">trust_stack_layer</w:t>
      </w:r>
    </w:p>
    <w:p>
      <w:pPr>
        <w:keepNext/>
        <w:keepLines/>
        <w:spacing w:before="0" w:after="60"/>
      </w:pPr>
      <w:r>
        <w:rPr>
          <w:rFonts w:ascii="JetBrains Mono" w:hAnsi="JetBrains Mono" w:cs="JetBrains Mono"/>
          <w:color w:val="6B8F8A"/>
          <w:sz w:val="17"/>
        </w:rPr>
        <w:t xml:space="preserve">String · coverage: 100%</w:t>
      </w:r>
    </w:p>
    <w:p>
      <w:pPr/>
      <w:r>
        <w:rPr>
          <w:rFonts w:cs="Inter"/>
        </w:rPr>
        <w:t xml:space="preserve">The functional layer of the trust stack the instrument occupies, from naming a thing at the base to compelling its verification by law at the top.</w:t>
      </w:r>
    </w:p>
    <w:tbl>
      <w:tblPr>
        <w:tblW w:w="0" w:type="auto"/>
        <w:tblLayout w:type="fixed"/>
        <w:tblLook w:val="04A0" w:firstRow="1" w:lastRow="0" w:firstColumn="1" w:lastColumn="0" w:noHBand="0" w:noVBand="1"/>
      </w:tblPr>
      <w:tblGrid>
        <w:gridCol w:w="3200"/>
        <w:gridCol w:w="900"/>
        <w:gridCol w:w="4828"/>
      </w:tblGrid>
      <w:tr>
        <w:trPr>
          <w:tblHeader/>
        </w:trPr>
        <w:tc>
          <w:tcPr>
            <w:tcW w:w="3200" w:type="dxa"/>
            <w:shd w:val="clear" w:color="auto" w:fill="004040"/>
          </w:tcPr>
          <w:p>
            <w:pPr>
              <w:spacing w:before="40" w:after="40"/>
            </w:pPr>
            <w:r>
              <w:rPr>
                <w:rFonts w:cs="Inter"/>
                <w:b/>
                <w:color w:val="FFFFFF"/>
                <w:sz w:val="18"/>
              </w:rPr>
              <w:t xml:space="preserve">Value</w:t>
            </w:r>
          </w:p>
        </w:tc>
        <w:tc>
          <w:tcPr>
            <w:tcW w:w="900" w:type="dxa"/>
            <w:shd w:val="clear" w:color="auto" w:fill="004040"/>
          </w:tcPr>
          <w:p>
            <w:pPr>
              <w:spacing w:before="40" w:after="40"/>
              <w:jc w:val="right"/>
            </w:pPr>
            <w:r>
              <w:rPr>
                <w:rFonts w:cs="Inter"/>
                <w:b/>
                <w:color w:val="FFFFFF"/>
                <w:sz w:val="18"/>
              </w:rPr>
              <w:t xml:space="preserve">Count</w:t>
            </w:r>
          </w:p>
        </w:tc>
        <w:tc>
          <w:tcPr>
            <w:tcW w:w="4828" w:type="dxa"/>
            <w:shd w:val="clear" w:color="auto" w:fill="004040"/>
          </w:tcPr>
          <w:p>
            <w:pPr>
              <w:spacing w:before="40" w:after="40"/>
            </w:pPr>
            <w:r>
              <w:rPr>
                <w:rFonts w:cs="Inter"/>
                <w:b/>
                <w:color w:val="FFFFFF"/>
                <w:sz w:val="18"/>
              </w:rPr>
              <w:t xml:space="preserve">Definition</w:t>
            </w:r>
          </w:p>
        </w:tc>
      </w:tr>
      <w:tr>
        <w:tc>
          <w:tcPr>
            <w:tcW w:w="3200" w:type="dxa"/>
            <w:tcBorders>
              <w:bottom w:val="single" w:sz="4" w:space="0" w:color="C9D1CE"/>
            </w:tcBorders>
          </w:tcPr>
          <w:p>
            <w:pPr>
              <w:spacing w:before="40" w:after="40"/>
            </w:pPr>
            <w:r>
              <w:rPr>
                <w:rFonts w:ascii="JetBrains Mono" w:hAnsi="JetBrains Mono" w:cs="JetBrains Mono"/>
                <w:sz w:val="19"/>
              </w:rPr>
              <w:t xml:space="preserve">identifier</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61</w:t>
            </w:r>
          </w:p>
        </w:tc>
        <w:tc>
          <w:tcPr>
            <w:tcW w:w="4828" w:type="dxa"/>
            <w:tcBorders>
              <w:bottom w:val="single" w:sz="4" w:space="0" w:color="C9D1CE"/>
            </w:tcBorders>
          </w:tcPr>
          <w:p>
            <w:pPr>
              <w:spacing w:before="40" w:after="40"/>
            </w:pPr>
            <w:r>
              <w:rPr>
                <w:rFonts w:cs="Inter"/>
                <w:sz w:val="19"/>
              </w:rPr>
              <w:t xml:space="preserve">Names a thing so that separate systems can refer to the same object.</w:t>
            </w:r>
          </w:p>
        </w:tc>
      </w:tr>
      <w:tr>
        <w:tc>
          <w:tcPr>
            <w:tcW w:w="3200" w:type="dxa"/>
            <w:tcBorders>
              <w:bottom w:val="single" w:sz="4" w:space="0" w:color="C9D1CE"/>
            </w:tcBorders>
          </w:tcPr>
          <w:p>
            <w:pPr>
              <w:spacing w:before="40" w:after="40"/>
            </w:pPr>
            <w:r>
              <w:rPr>
                <w:rFonts w:ascii="JetBrains Mono" w:hAnsi="JetBrains Mono" w:cs="JetBrains Mono"/>
                <w:sz w:val="19"/>
              </w:rPr>
              <w:t xml:space="preserve">data-credential-model</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106</w:t>
            </w:r>
          </w:p>
        </w:tc>
        <w:tc>
          <w:tcPr>
            <w:tcW w:w="4828" w:type="dxa"/>
            <w:tcBorders>
              <w:bottom w:val="single" w:sz="4" w:space="0" w:color="C9D1CE"/>
            </w:tcBorders>
          </w:tcPr>
          <w:p>
            <w:pPr>
              <w:spacing w:before="40" w:after="40"/>
            </w:pPr>
            <w:r>
              <w:rPr>
                <w:rFonts w:cs="Inter"/>
                <w:sz w:val="19"/>
              </w:rPr>
              <w:t xml:space="preserve">Describes a thing, or carries a claim about it, in a defined data or credential format.</w:t>
            </w:r>
          </w:p>
        </w:tc>
      </w:tr>
      <w:tr>
        <w:tc>
          <w:tcPr>
            <w:tcW w:w="3200" w:type="dxa"/>
            <w:tcBorders>
              <w:bottom w:val="single" w:sz="4" w:space="0" w:color="C9D1CE"/>
            </w:tcBorders>
          </w:tcPr>
          <w:p>
            <w:pPr>
              <w:spacing w:before="40" w:after="40"/>
            </w:pPr>
            <w:r>
              <w:rPr>
                <w:rFonts w:ascii="JetBrains Mono" w:hAnsi="JetBrains Mono" w:cs="JetBrains Mono"/>
                <w:sz w:val="19"/>
              </w:rPr>
              <w:t xml:space="preserve">traceability-exchange-protocol</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73</w:t>
            </w:r>
          </w:p>
        </w:tc>
        <w:tc>
          <w:tcPr>
            <w:tcW w:w="4828" w:type="dxa"/>
            <w:tcBorders>
              <w:bottom w:val="single" w:sz="4" w:space="0" w:color="C9D1CE"/>
            </w:tcBorders>
          </w:tcPr>
          <w:p>
            <w:pPr>
              <w:spacing w:before="40" w:after="40"/>
            </w:pPr>
            <w:r>
              <w:rPr>
                <w:rFonts w:cs="Inter"/>
                <w:sz w:val="19"/>
              </w:rPr>
              <w:t xml:space="preserve">Moves a description or a claim along a chain between parties.</w:t>
            </w:r>
          </w:p>
        </w:tc>
      </w:tr>
      <w:tr>
        <w:tc>
          <w:tcPr>
            <w:tcW w:w="3200" w:type="dxa"/>
            <w:tcBorders>
              <w:bottom w:val="single" w:sz="4" w:space="0" w:color="C9D1CE"/>
            </w:tcBorders>
          </w:tcPr>
          <w:p>
            <w:pPr>
              <w:spacing w:before="40" w:after="40"/>
            </w:pPr>
            <w:r>
              <w:rPr>
                <w:rFonts w:ascii="JetBrains Mono" w:hAnsi="JetBrains Mono" w:cs="JetBrains Mono"/>
                <w:sz w:val="19"/>
              </w:rPr>
              <w:t xml:space="preserve">conformity-assessment-certification</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207</w:t>
            </w:r>
          </w:p>
        </w:tc>
        <w:tc>
          <w:tcPr>
            <w:tcW w:w="4828" w:type="dxa"/>
            <w:tcBorders>
              <w:bottom w:val="single" w:sz="4" w:space="0" w:color="C9D1CE"/>
            </w:tcBorders>
          </w:tcPr>
          <w:p>
            <w:pPr>
              <w:spacing w:before="40" w:after="40"/>
            </w:pPr>
            <w:r>
              <w:rPr>
                <w:rFonts w:cs="Inter"/>
                <w:sz w:val="19"/>
              </w:rPr>
              <w:t xml:space="preserve">Tests a thing against a standard and issues a result.</w:t>
            </w:r>
          </w:p>
        </w:tc>
      </w:tr>
      <w:tr>
        <w:tc>
          <w:tcPr>
            <w:tcW w:w="3200" w:type="dxa"/>
            <w:tcBorders>
              <w:bottom w:val="single" w:sz="4" w:space="0" w:color="C9D1CE"/>
            </w:tcBorders>
          </w:tcPr>
          <w:p>
            <w:pPr>
              <w:spacing w:before="40" w:after="40"/>
            </w:pPr>
            <w:r>
              <w:rPr>
                <w:rFonts w:ascii="JetBrains Mono" w:hAnsi="JetBrains Mono" w:cs="JetBrains Mono"/>
                <w:sz w:val="19"/>
              </w:rPr>
              <w:t xml:space="preserve">accreditation</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16</w:t>
            </w:r>
          </w:p>
        </w:tc>
        <w:tc>
          <w:tcPr>
            <w:tcW w:w="4828" w:type="dxa"/>
            <w:tcBorders>
              <w:bottom w:val="single" w:sz="4" w:space="0" w:color="C9D1CE"/>
            </w:tcBorders>
          </w:tcPr>
          <w:p>
            <w:pPr>
              <w:spacing w:before="40" w:after="40"/>
            </w:pPr>
            <w:r>
              <w:rPr>
                <w:rFonts w:cs="Inter"/>
                <w:sz w:val="19"/>
              </w:rPr>
              <w:t xml:space="preserve">Vouches for the bodies that perform conformity assessment.</w:t>
            </w:r>
          </w:p>
        </w:tc>
      </w:tr>
      <w:tr>
        <w:tc>
          <w:tcPr>
            <w:tcW w:w="3200" w:type="dxa"/>
            <w:tcBorders>
              <w:bottom w:val="single" w:sz="4" w:space="0" w:color="C9D1CE"/>
            </w:tcBorders>
          </w:tcPr>
          <w:p>
            <w:pPr>
              <w:spacing w:before="40" w:after="40"/>
            </w:pPr>
            <w:r>
              <w:rPr>
                <w:rFonts w:ascii="JetBrains Mono" w:hAnsi="JetBrains Mono" w:cs="JetBrains Mono"/>
                <w:sz w:val="19"/>
              </w:rPr>
              <w:t xml:space="preserve">governance-mutual-recognition</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89</w:t>
            </w:r>
          </w:p>
        </w:tc>
        <w:tc>
          <w:tcPr>
            <w:tcW w:w="4828" w:type="dxa"/>
            <w:tcBorders>
              <w:bottom w:val="single" w:sz="4" w:space="0" w:color="C9D1CE"/>
            </w:tcBorders>
          </w:tcPr>
          <w:p>
            <w:pPr>
              <w:spacing w:before="40" w:after="40"/>
            </w:pPr>
            <w:r>
              <w:rPr>
                <w:rFonts w:cs="Inter"/>
                <w:sz w:val="19"/>
              </w:rPr>
              <w:t xml:space="preserve">Coordinates across schemes and jurisdictions so that one system's decisions are accepted by another.</w:t>
            </w:r>
          </w:p>
        </w:tc>
      </w:tr>
      <w:tr>
        <w:tc>
          <w:tcPr>
            <w:tcW w:w="3200" w:type="dxa"/>
            <w:tcBorders>
              <w:bottom w:val="single" w:sz="4" w:space="0" w:color="C9D1CE"/>
            </w:tcBorders>
          </w:tcPr>
          <w:p>
            <w:pPr>
              <w:spacing w:before="40" w:after="40"/>
            </w:pPr>
            <w:r>
              <w:rPr>
                <w:rFonts w:ascii="JetBrains Mono" w:hAnsi="JetBrains Mono" w:cs="JetBrains Mono"/>
                <w:sz w:val="19"/>
              </w:rPr>
              <w:t xml:space="preserve">mandating-regulation</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67</w:t>
            </w:r>
          </w:p>
        </w:tc>
        <w:tc>
          <w:tcPr>
            <w:tcW w:w="4828" w:type="dxa"/>
            <w:tcBorders>
              <w:bottom w:val="single" w:sz="4" w:space="0" w:color="C9D1CE"/>
            </w:tcBorders>
          </w:tcPr>
          <w:p>
            <w:pPr>
              <w:spacing w:before="40" w:after="40"/>
            </w:pPr>
            <w:r>
              <w:rPr>
                <w:rFonts w:cs="Inter"/>
                <w:sz w:val="19"/>
              </w:rPr>
              <w:t xml:space="preserve">Compels the use or verification of the layers beneath it by law.</w:t>
            </w:r>
          </w:p>
        </w:tc>
      </w:tr>
    </w:tbl>
    <w:p>
      <w:pPr>
        <w:spacing w:after="120"/>
      </w:pPr>
    </w:p>
    <w:p>
      <w:pPr>
        <w:keepNext/>
        <w:keepLines/>
        <w:spacing w:before="240" w:after="60"/>
      </w:pPr>
      <w:r>
        <w:rPr>
          <w:rFonts w:ascii="JetBrains Mono" w:hAnsi="JetBrains Mono" w:cs="JetBrains Mono"/>
          <w:b/>
          <w:sz w:val="25"/>
        </w:rPr>
        <w:t xml:space="preserve">interoperability_posture</w:t>
      </w:r>
    </w:p>
    <w:p>
      <w:pPr>
        <w:keepNext/>
        <w:keepLines/>
        <w:spacing w:before="0" w:after="60"/>
      </w:pPr>
      <w:r>
        <w:rPr>
          <w:rFonts w:ascii="JetBrains Mono" w:hAnsi="JetBrains Mono" w:cs="JetBrains Mono"/>
          <w:color w:val="6B8F8A"/>
          <w:sz w:val="17"/>
        </w:rPr>
        <w:t xml:space="preserve">String · coverage: 100%</w:t>
      </w:r>
    </w:p>
    <w:p>
      <w:pPr/>
      <w:r>
        <w:rPr>
          <w:rFonts w:cs="Inter"/>
        </w:rPr>
        <w:t xml:space="preserve">Whether the instrument recognises or is recognised by others, or operates in isolation. It is a statement about the coverage of this dataset, not a claim that no arrangement exists anywhere.</w:t>
      </w:r>
    </w:p>
    <w:tbl>
      <w:tblPr>
        <w:tblW w:w="0" w:type="auto"/>
        <w:tblLayout w:type="fixed"/>
        <w:tblLook w:val="04A0" w:firstRow="1" w:lastRow="0" w:firstColumn="1" w:lastColumn="0" w:noHBand="0" w:noVBand="1"/>
      </w:tblPr>
      <w:tblGrid>
        <w:gridCol w:w="3200"/>
        <w:gridCol w:w="900"/>
        <w:gridCol w:w="4828"/>
      </w:tblGrid>
      <w:tr>
        <w:trPr>
          <w:tblHeader/>
        </w:trPr>
        <w:tc>
          <w:tcPr>
            <w:tcW w:w="3200" w:type="dxa"/>
            <w:shd w:val="clear" w:color="auto" w:fill="004040"/>
          </w:tcPr>
          <w:p>
            <w:pPr>
              <w:spacing w:before="40" w:after="40"/>
            </w:pPr>
            <w:r>
              <w:rPr>
                <w:rFonts w:cs="Inter"/>
                <w:b/>
                <w:color w:val="FFFFFF"/>
                <w:sz w:val="18"/>
              </w:rPr>
              <w:t xml:space="preserve">Value</w:t>
            </w:r>
          </w:p>
        </w:tc>
        <w:tc>
          <w:tcPr>
            <w:tcW w:w="900" w:type="dxa"/>
            <w:shd w:val="clear" w:color="auto" w:fill="004040"/>
          </w:tcPr>
          <w:p>
            <w:pPr>
              <w:spacing w:before="40" w:after="40"/>
              <w:jc w:val="right"/>
            </w:pPr>
            <w:r>
              <w:rPr>
                <w:rFonts w:cs="Inter"/>
                <w:b/>
                <w:color w:val="FFFFFF"/>
                <w:sz w:val="18"/>
              </w:rPr>
              <w:t xml:space="preserve">Count</w:t>
            </w:r>
          </w:p>
        </w:tc>
        <w:tc>
          <w:tcPr>
            <w:tcW w:w="4828" w:type="dxa"/>
            <w:shd w:val="clear" w:color="auto" w:fill="004040"/>
          </w:tcPr>
          <w:p>
            <w:pPr>
              <w:spacing w:before="40" w:after="40"/>
            </w:pPr>
            <w:r>
              <w:rPr>
                <w:rFonts w:cs="Inter"/>
                <w:b/>
                <w:color w:val="FFFFFF"/>
                <w:sz w:val="18"/>
              </w:rPr>
              <w:t xml:space="preserve">Definition</w:t>
            </w:r>
          </w:p>
        </w:tc>
      </w:tr>
      <w:tr>
        <w:tc>
          <w:tcPr>
            <w:tcW w:w="3200" w:type="dxa"/>
            <w:tcBorders>
              <w:bottom w:val="single" w:sz="4" w:space="0" w:color="C9D1CE"/>
            </w:tcBorders>
          </w:tcPr>
          <w:p>
            <w:pPr>
              <w:spacing w:before="40" w:after="40"/>
            </w:pPr>
            <w:r>
              <w:rPr>
                <w:rFonts w:ascii="JetBrains Mono" w:hAnsi="JetBrains Mono" w:cs="JetBrains Mono"/>
                <w:sz w:val="19"/>
              </w:rPr>
              <w:t xml:space="preserve">mutual-recognition</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463</w:t>
            </w:r>
          </w:p>
        </w:tc>
        <w:tc>
          <w:tcPr>
            <w:tcW w:w="4828" w:type="dxa"/>
            <w:tcBorders>
              <w:bottom w:val="single" w:sz="4" w:space="0" w:color="C9D1CE"/>
            </w:tcBorders>
          </w:tcPr>
          <w:p>
            <w:pPr>
              <w:spacing w:before="40" w:after="40"/>
            </w:pPr>
            <w:r>
              <w:rPr>
                <w:rFonts w:cs="Inter"/>
                <w:sz w:val="19"/>
              </w:rPr>
              <w:t xml:space="preserve">The instrument recognises, or is recognised by, at least one other instrument.</w:t>
            </w:r>
          </w:p>
        </w:tc>
      </w:tr>
      <w:tr>
        <w:tc>
          <w:tcPr>
            <w:tcW w:w="3200" w:type="dxa"/>
            <w:tcBorders>
              <w:bottom w:val="single" w:sz="4" w:space="0" w:color="C9D1CE"/>
            </w:tcBorders>
          </w:tcPr>
          <w:p>
            <w:pPr>
              <w:spacing w:before="40" w:after="40"/>
            </w:pPr>
            <w:r>
              <w:rPr>
                <w:rFonts w:ascii="JetBrains Mono" w:hAnsi="JetBrains Mono" w:cs="JetBrains Mono"/>
                <w:sz w:val="19"/>
              </w:rPr>
              <w:t xml:space="preserve">standalone-silo</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156</w:t>
            </w:r>
          </w:p>
        </w:tc>
        <w:tc>
          <w:tcPr>
            <w:tcW w:w="4828" w:type="dxa"/>
            <w:tcBorders>
              <w:bottom w:val="single" w:sz="4" w:space="0" w:color="C9D1CE"/>
            </w:tcBorders>
          </w:tcPr>
          <w:p>
            <w:pPr>
              <w:spacing w:before="40" w:after="40"/>
            </w:pPr>
            <w:r>
              <w:rPr>
                <w:rFonts w:cs="Inter"/>
                <w:sz w:val="19"/>
              </w:rPr>
              <w:t xml:space="preserve">The instrument neither recognises nor is recognised by any other instrument in the dataset.</w:t>
            </w:r>
          </w:p>
        </w:tc>
      </w:tr>
    </w:tbl>
    <w:p>
      <w:pPr>
        <w:spacing w:after="120"/>
      </w:pPr>
    </w:p>
    <w:p>
      <w:pPr>
        <w:keepNext/>
        <w:keepLines/>
        <w:spacing w:before="240" w:after="60"/>
      </w:pPr>
      <w:r>
        <w:rPr>
          <w:rFonts w:ascii="JetBrains Mono" w:hAnsi="JetBrains Mono" w:cs="JetBrains Mono"/>
          <w:b/>
          <w:sz w:val="25"/>
        </w:rPr>
        <w:t xml:space="preserve">problem_domain</w:t>
      </w:r>
    </w:p>
    <w:p>
      <w:pPr>
        <w:keepNext/>
        <w:keepLines/>
        <w:spacing w:before="0" w:after="60"/>
      </w:pPr>
      <w:r>
        <w:rPr>
          <w:rFonts w:ascii="JetBrains Mono" w:hAnsi="JetBrains Mono" w:cs="JetBrains Mono"/>
          <w:color w:val="6B8F8A"/>
          <w:sz w:val="17"/>
        </w:rPr>
        <w:t xml:space="preserve">String · coverage: 100%</w:t>
      </w:r>
    </w:p>
    <w:p>
      <w:pPr/>
      <w:r>
        <w:rPr>
          <w:rFonts w:cs="Inter"/>
        </w:rPr>
        <w:t xml:space="preserve">The problem the instrument addresses. Derived from harm_family by grouping the twelve harm families into five domains, as set out in the value table below.</w:t>
      </w:r>
    </w:p>
    <w:tbl>
      <w:tblPr>
        <w:tblW w:w="0" w:type="auto"/>
        <w:tblLayout w:type="fixed"/>
        <w:tblLook w:val="04A0" w:firstRow="1" w:lastRow="0" w:firstColumn="1" w:lastColumn="0" w:noHBand="0" w:noVBand="1"/>
      </w:tblPr>
      <w:tblGrid>
        <w:gridCol w:w="3200"/>
        <w:gridCol w:w="900"/>
        <w:gridCol w:w="4828"/>
      </w:tblGrid>
      <w:tr>
        <w:trPr>
          <w:tblHeader/>
        </w:trPr>
        <w:tc>
          <w:tcPr>
            <w:tcW w:w="3200" w:type="dxa"/>
            <w:shd w:val="clear" w:color="auto" w:fill="004040"/>
          </w:tcPr>
          <w:p>
            <w:pPr>
              <w:spacing w:before="40" w:after="40"/>
            </w:pPr>
            <w:r>
              <w:rPr>
                <w:rFonts w:cs="Inter"/>
                <w:b/>
                <w:color w:val="FFFFFF"/>
                <w:sz w:val="18"/>
              </w:rPr>
              <w:t xml:space="preserve">Value</w:t>
            </w:r>
          </w:p>
        </w:tc>
        <w:tc>
          <w:tcPr>
            <w:tcW w:w="900" w:type="dxa"/>
            <w:shd w:val="clear" w:color="auto" w:fill="004040"/>
          </w:tcPr>
          <w:p>
            <w:pPr>
              <w:spacing w:before="40" w:after="40"/>
              <w:jc w:val="right"/>
            </w:pPr>
            <w:r>
              <w:rPr>
                <w:rFonts w:cs="Inter"/>
                <w:b/>
                <w:color w:val="FFFFFF"/>
                <w:sz w:val="18"/>
              </w:rPr>
              <w:t xml:space="preserve">Count</w:t>
            </w:r>
          </w:p>
        </w:tc>
        <w:tc>
          <w:tcPr>
            <w:tcW w:w="4828" w:type="dxa"/>
            <w:shd w:val="clear" w:color="auto" w:fill="004040"/>
          </w:tcPr>
          <w:p>
            <w:pPr>
              <w:spacing w:before="40" w:after="40"/>
            </w:pPr>
            <w:r>
              <w:rPr>
                <w:rFonts w:cs="Inter"/>
                <w:b/>
                <w:color w:val="FFFFFF"/>
                <w:sz w:val="18"/>
              </w:rPr>
              <w:t xml:space="preserve">Definition</w:t>
            </w:r>
          </w:p>
        </w:tc>
      </w:tr>
      <w:tr>
        <w:tc>
          <w:tcPr>
            <w:tcW w:w="3200" w:type="dxa"/>
            <w:tcBorders>
              <w:bottom w:val="single" w:sz="4" w:space="0" w:color="C9D1CE"/>
            </w:tcBorders>
          </w:tcPr>
          <w:p>
            <w:pPr>
              <w:spacing w:before="40" w:after="40"/>
            </w:pPr>
            <w:r>
              <w:rPr>
                <w:rFonts w:ascii="JetBrains Mono" w:hAnsi="JetBrains Mono" w:cs="JetBrains Mono"/>
                <w:sz w:val="19"/>
              </w:rPr>
              <w:t xml:space="preserve">Product integrity</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292</w:t>
            </w:r>
          </w:p>
        </w:tc>
        <w:tc>
          <w:tcPr>
            <w:tcW w:w="4828" w:type="dxa"/>
            <w:tcBorders>
              <w:bottom w:val="single" w:sz="4" w:space="0" w:color="C9D1CE"/>
            </w:tcBorders>
          </w:tcPr>
          <w:p>
            <w:pPr>
              <w:spacing w:before="40" w:after="40"/>
            </w:pPr>
            <w:r>
              <w:rPr>
                <w:rFonts w:cs="Inter"/>
                <w:sz w:val="19"/>
              </w:rPr>
              <w:t xml:space="preserve">The authenticity, safety, provenance, and lawful sourcing of physical goods. Aggregates counterfeiting and falsification, unsafe or non-compliant products, illegal or misrepresented origin and sourcing, illicit trade and tax or excise evasion, greenwashing and ESG or climate misrepresentation, and other social and labour harm.</w:t>
            </w:r>
          </w:p>
        </w:tc>
      </w:tr>
      <w:tr>
        <w:tc>
          <w:tcPr>
            <w:tcW w:w="3200" w:type="dxa"/>
            <w:tcBorders>
              <w:bottom w:val="single" w:sz="4" w:space="0" w:color="C9D1CE"/>
            </w:tcBorders>
          </w:tcPr>
          <w:p>
            <w:pPr>
              <w:spacing w:before="40" w:after="40"/>
            </w:pPr>
            <w:r>
              <w:rPr>
                <w:rFonts w:ascii="JetBrains Mono" w:hAnsi="JetBrains Mono" w:cs="JetBrains Mono"/>
                <w:sz w:val="19"/>
              </w:rPr>
              <w:t xml:space="preserve">Digital systems and data</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149</w:t>
            </w:r>
          </w:p>
        </w:tc>
        <w:tc>
          <w:tcPr>
            <w:tcW w:w="4828" w:type="dxa"/>
            <w:tcBorders>
              <w:bottom w:val="single" w:sz="4" w:space="0" w:color="C9D1CE"/>
            </w:tcBorders>
          </w:tcPr>
          <w:p>
            <w:pPr>
              <w:spacing w:before="40" w:after="40"/>
            </w:pPr>
            <w:r>
              <w:rPr>
                <w:rFonts w:cs="Inter"/>
                <w:sz w:val="19"/>
              </w:rPr>
              <w:t xml:space="preserve">The security and integrity of digital systems, data, and AI. Aggregates cybersecurity compromise and data interception, data, research and assurance integrity failure, and AI safety and governance failure.</w:t>
            </w:r>
          </w:p>
        </w:tc>
      </w:tr>
      <w:tr>
        <w:tc>
          <w:tcPr>
            <w:tcW w:w="3200" w:type="dxa"/>
            <w:tcBorders>
              <w:bottom w:val="single" w:sz="4" w:space="0" w:color="C9D1CE"/>
            </w:tcBorders>
          </w:tcPr>
          <w:p>
            <w:pPr>
              <w:spacing w:before="40" w:after="40"/>
            </w:pPr>
            <w:r>
              <w:rPr>
                <w:rFonts w:ascii="JetBrains Mono" w:hAnsi="JetBrains Mono" w:cs="JetBrains Mono"/>
                <w:sz w:val="19"/>
              </w:rPr>
              <w:t xml:space="preserve">System interoperability</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73</w:t>
            </w:r>
          </w:p>
        </w:tc>
        <w:tc>
          <w:tcPr>
            <w:tcW w:w="4828" w:type="dxa"/>
            <w:tcBorders>
              <w:bottom w:val="single" w:sz="4" w:space="0" w:color="C9D1CE"/>
            </w:tcBorders>
          </w:tcPr>
          <w:p>
            <w:pPr>
              <w:spacing w:before="40" w:after="40"/>
            </w:pPr>
            <w:r>
              <w:rPr>
                <w:rFonts w:cs="Inter"/>
                <w:sz w:val="19"/>
              </w:rPr>
              <w:t xml:space="preserve">Letting separate trust systems recognise one another. Maps to the interoperability and fragmentation failure harm family.</w:t>
            </w:r>
          </w:p>
        </w:tc>
      </w:tr>
      <w:tr>
        <w:tc>
          <w:tcPr>
            <w:tcW w:w="3200" w:type="dxa"/>
            <w:tcBorders>
              <w:bottom w:val="single" w:sz="4" w:space="0" w:color="C9D1CE"/>
            </w:tcBorders>
          </w:tcPr>
          <w:p>
            <w:pPr>
              <w:spacing w:before="40" w:after="40"/>
            </w:pPr>
            <w:r>
              <w:rPr>
                <w:rFonts w:ascii="JetBrains Mono" w:hAnsi="JetBrains Mono" w:cs="JetBrains Mono"/>
                <w:sz w:val="19"/>
              </w:rPr>
              <w:t xml:space="preserve">Identity and personal security</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67</w:t>
            </w:r>
          </w:p>
        </w:tc>
        <w:tc>
          <w:tcPr>
            <w:tcW w:w="4828" w:type="dxa"/>
            <w:tcBorders>
              <w:bottom w:val="single" w:sz="4" w:space="0" w:color="C9D1CE"/>
            </w:tcBorders>
          </w:tcPr>
          <w:p>
            <w:pPr>
              <w:spacing w:before="40" w:after="40"/>
            </w:pPr>
            <w:r>
              <w:rPr>
                <w:rFonts w:cs="Inter"/>
                <w:sz w:val="19"/>
              </w:rPr>
              <w:t xml:space="preserve">Verifying people, and preventing identity fraud and impersonation. Maps to the fraud, forgery and impersonation harm family.</w:t>
            </w:r>
          </w:p>
        </w:tc>
      </w:tr>
      <w:tr>
        <w:tc>
          <w:tcPr>
            <w:tcW w:w="3200" w:type="dxa"/>
            <w:tcBorders>
              <w:bottom w:val="single" w:sz="4" w:space="0" w:color="C9D1CE"/>
            </w:tcBorders>
          </w:tcPr>
          <w:p>
            <w:pPr>
              <w:spacing w:before="40" w:after="40"/>
            </w:pPr>
            <w:r>
              <w:rPr>
                <w:rFonts w:ascii="JetBrains Mono" w:hAnsi="JetBrains Mono" w:cs="JetBrains Mono"/>
                <w:sz w:val="19"/>
              </w:rPr>
              <w:t xml:space="preserve">Financial integrity</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38</w:t>
            </w:r>
          </w:p>
        </w:tc>
        <w:tc>
          <w:tcPr>
            <w:tcW w:w="4828" w:type="dxa"/>
            <w:tcBorders>
              <w:bottom w:val="single" w:sz="4" w:space="0" w:color="C9D1CE"/>
            </w:tcBorders>
          </w:tcPr>
          <w:p>
            <w:pPr>
              <w:spacing w:before="40" w:after="40"/>
            </w:pPr>
            <w:r>
              <w:rPr>
                <w:rFonts w:cs="Inter"/>
                <w:sz w:val="19"/>
              </w:rPr>
              <w:t xml:space="preserve">Financial crime, money laundering, and mispriced risk. Maps to the financial crime, AML and mispriced risk harm family.</w:t>
            </w:r>
          </w:p>
        </w:tc>
      </w:tr>
    </w:tbl>
    <w:p>
      <w:pPr>
        <w:spacing w:after="120"/>
      </w:pPr>
    </w:p>
    <w:p>
      <w:pPr>
        <w:keepNext/>
        <w:keepLines/>
        <w:spacing w:before="240" w:after="60"/>
      </w:pPr>
      <w:r>
        <w:rPr>
          <w:rFonts w:ascii="JetBrains Mono" w:hAnsi="JetBrains Mono" w:cs="JetBrains Mono"/>
          <w:b/>
          <w:sz w:val="25"/>
        </w:rPr>
        <w:t xml:space="preserve">harm_family</w:t>
      </w:r>
    </w:p>
    <w:p>
      <w:pPr>
        <w:keepNext/>
        <w:keepLines/>
        <w:spacing w:before="0" w:after="60"/>
      </w:pPr>
      <w:r>
        <w:rPr>
          <w:rFonts w:ascii="JetBrains Mono" w:hAnsi="JetBrains Mono" w:cs="JetBrains Mono"/>
          <w:color w:val="6B8F8A"/>
          <w:sz w:val="17"/>
        </w:rPr>
        <w:t xml:space="preserve">String · coverage: 100%</w:t>
      </w:r>
    </w:p>
    <w:p>
      <w:pPr/>
      <w:r>
        <w:rPr>
          <w:rFonts w:cs="Inter"/>
        </w:rPr>
        <w:t xml:space="preserve">The primary public harm the instrument exists to prevent. Each instrument is assigned exactly one value. Coding was model assisted and run as a single batched pass, classifying each instrument independently from fields already in the register, with no web search, and returning a confidence. Medium confidence rows and edge cases were reviewed by hand. The taxonomy is an analytic construction for this research, not an official scheme.</w:t>
      </w:r>
    </w:p>
    <w:tbl>
      <w:tblPr>
        <w:tblW w:w="0" w:type="auto"/>
        <w:tblLayout w:type="fixed"/>
        <w:tblLook w:val="04A0" w:firstRow="1" w:lastRow="0" w:firstColumn="1" w:lastColumn="0" w:noHBand="0" w:noVBand="1"/>
      </w:tblPr>
      <w:tblGrid>
        <w:gridCol w:w="7200"/>
        <w:gridCol w:w="1728"/>
      </w:tblGrid>
      <w:tr>
        <w:trPr>
          <w:tblHeader/>
        </w:trPr>
        <w:tc>
          <w:tcPr>
            <w:tcW w:w="7200" w:type="dxa"/>
            <w:shd w:val="clear" w:color="auto" w:fill="004040"/>
          </w:tcPr>
          <w:p>
            <w:pPr>
              <w:spacing w:before="40" w:after="40"/>
            </w:pPr>
            <w:r>
              <w:rPr>
                <w:rFonts w:cs="Inter"/>
                <w:b/>
                <w:color w:val="FFFFFF"/>
                <w:sz w:val="18"/>
              </w:rPr>
              <w:t xml:space="preserve">Value</w:t>
            </w:r>
          </w:p>
        </w:tc>
        <w:tc>
          <w:tcPr>
            <w:tcW w:w="1728" w:type="dxa"/>
            <w:shd w:val="clear" w:color="auto" w:fill="004040"/>
          </w:tcPr>
          <w:p>
            <w:pPr>
              <w:spacing w:before="40" w:after="40"/>
              <w:jc w:val="right"/>
            </w:pPr>
            <w:r>
              <w:rPr>
                <w:rFonts w:cs="Inter"/>
                <w:b/>
                <w:color w:val="FFFFFF"/>
                <w:sz w:val="18"/>
              </w:rPr>
              <w:t xml:space="preserve">Count</w:t>
            </w:r>
          </w:p>
        </w:tc>
      </w:tr>
      <w:tr>
        <w:tc>
          <w:tcPr>
            <w:tcW w:w="7200" w:type="dxa"/>
            <w:tcBorders>
              <w:bottom w:val="single" w:sz="4" w:space="0" w:color="C9D1CE"/>
            </w:tcBorders>
          </w:tcPr>
          <w:p>
            <w:pPr>
              <w:spacing w:before="40" w:after="40"/>
            </w:pPr>
            <w:r>
              <w:rPr>
                <w:rFonts w:ascii="JetBrains Mono" w:hAnsi="JetBrains Mono" w:cs="JetBrains Mono"/>
                <w:sz w:val="19"/>
              </w:rPr>
              <w:t xml:space="preserve">Counterfeiting &amp; falsification</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77</w:t>
            </w:r>
          </w:p>
        </w:tc>
      </w:tr>
      <w:tr>
        <w:tc>
          <w:tcPr>
            <w:tcW w:w="7200" w:type="dxa"/>
            <w:tcBorders>
              <w:bottom w:val="single" w:sz="4" w:space="0" w:color="C9D1CE"/>
            </w:tcBorders>
          </w:tcPr>
          <w:p>
            <w:pPr>
              <w:spacing w:before="40" w:after="40"/>
            </w:pPr>
            <w:r>
              <w:rPr>
                <w:rFonts w:ascii="JetBrains Mono" w:hAnsi="JetBrains Mono" w:cs="JetBrains Mono"/>
                <w:sz w:val="19"/>
              </w:rPr>
              <w:t xml:space="preserve">Cybersecurity compromise &amp; data interception</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74</w:t>
            </w:r>
          </w:p>
        </w:tc>
      </w:tr>
      <w:tr>
        <w:tc>
          <w:tcPr>
            <w:tcW w:w="7200" w:type="dxa"/>
            <w:tcBorders>
              <w:bottom w:val="single" w:sz="4" w:space="0" w:color="C9D1CE"/>
            </w:tcBorders>
          </w:tcPr>
          <w:p>
            <w:pPr>
              <w:spacing w:before="40" w:after="40"/>
            </w:pPr>
            <w:r>
              <w:rPr>
                <w:rFonts w:ascii="JetBrains Mono" w:hAnsi="JetBrains Mono" w:cs="JetBrains Mono"/>
                <w:sz w:val="19"/>
              </w:rPr>
              <w:t xml:space="preserve">Interoperability &amp; fragmentation failure</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73</w:t>
            </w:r>
          </w:p>
        </w:tc>
      </w:tr>
      <w:tr>
        <w:tc>
          <w:tcPr>
            <w:tcW w:w="7200" w:type="dxa"/>
            <w:tcBorders>
              <w:bottom w:val="single" w:sz="4" w:space="0" w:color="C9D1CE"/>
            </w:tcBorders>
          </w:tcPr>
          <w:p>
            <w:pPr>
              <w:spacing w:before="40" w:after="40"/>
            </w:pPr>
            <w:r>
              <w:rPr>
                <w:rFonts w:ascii="JetBrains Mono" w:hAnsi="JetBrains Mono" w:cs="JetBrains Mono"/>
                <w:sz w:val="19"/>
              </w:rPr>
              <w:t xml:space="preserve">Unsafe or non-compliant products</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68</w:t>
            </w:r>
          </w:p>
        </w:tc>
      </w:tr>
      <w:tr>
        <w:tc>
          <w:tcPr>
            <w:tcW w:w="7200" w:type="dxa"/>
            <w:tcBorders>
              <w:bottom w:val="single" w:sz="4" w:space="0" w:color="C9D1CE"/>
            </w:tcBorders>
          </w:tcPr>
          <w:p>
            <w:pPr>
              <w:spacing w:before="40" w:after="40"/>
            </w:pPr>
            <w:r>
              <w:rPr>
                <w:rFonts w:ascii="JetBrains Mono" w:hAnsi="JetBrains Mono" w:cs="JetBrains Mono"/>
                <w:sz w:val="19"/>
              </w:rPr>
              <w:t xml:space="preserve">Fraud, forgery &amp; impersonation</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67</w:t>
            </w:r>
          </w:p>
        </w:tc>
      </w:tr>
      <w:tr>
        <w:tc>
          <w:tcPr>
            <w:tcW w:w="7200" w:type="dxa"/>
            <w:tcBorders>
              <w:bottom w:val="single" w:sz="4" w:space="0" w:color="C9D1CE"/>
            </w:tcBorders>
          </w:tcPr>
          <w:p>
            <w:pPr>
              <w:spacing w:before="40" w:after="40"/>
            </w:pPr>
            <w:r>
              <w:rPr>
                <w:rFonts w:ascii="JetBrains Mono" w:hAnsi="JetBrains Mono" w:cs="JetBrains Mono"/>
                <w:sz w:val="19"/>
              </w:rPr>
              <w:t xml:space="preserve">Data, research &amp; assurance integrity failure</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56</w:t>
            </w:r>
          </w:p>
        </w:tc>
      </w:tr>
      <w:tr>
        <w:tc>
          <w:tcPr>
            <w:tcW w:w="7200" w:type="dxa"/>
            <w:tcBorders>
              <w:bottom w:val="single" w:sz="4" w:space="0" w:color="C9D1CE"/>
            </w:tcBorders>
          </w:tcPr>
          <w:p>
            <w:pPr>
              <w:spacing w:before="40" w:after="40"/>
            </w:pPr>
            <w:r>
              <w:rPr>
                <w:rFonts w:ascii="JetBrains Mono" w:hAnsi="JetBrains Mono" w:cs="JetBrains Mono"/>
                <w:sz w:val="19"/>
              </w:rPr>
              <w:t xml:space="preserve">Greenwashing &amp; ESG/climate misrepresentation</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55</w:t>
            </w:r>
          </w:p>
        </w:tc>
      </w:tr>
      <w:tr>
        <w:tc>
          <w:tcPr>
            <w:tcW w:w="7200" w:type="dxa"/>
            <w:tcBorders>
              <w:bottom w:val="single" w:sz="4" w:space="0" w:color="C9D1CE"/>
            </w:tcBorders>
          </w:tcPr>
          <w:p>
            <w:pPr>
              <w:spacing w:before="40" w:after="40"/>
            </w:pPr>
            <w:r>
              <w:rPr>
                <w:rFonts w:ascii="JetBrains Mono" w:hAnsi="JetBrains Mono" w:cs="JetBrains Mono"/>
                <w:sz w:val="19"/>
              </w:rPr>
              <w:t xml:space="preserve">Illegal or misrepresented origin &amp; sourcing</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46</w:t>
            </w:r>
          </w:p>
        </w:tc>
      </w:tr>
      <w:tr>
        <w:tc>
          <w:tcPr>
            <w:tcW w:w="7200" w:type="dxa"/>
            <w:tcBorders>
              <w:bottom w:val="single" w:sz="4" w:space="0" w:color="C9D1CE"/>
            </w:tcBorders>
          </w:tcPr>
          <w:p>
            <w:pPr>
              <w:spacing w:before="40" w:after="40"/>
            </w:pPr>
            <w:r>
              <w:rPr>
                <w:rFonts w:ascii="JetBrains Mono" w:hAnsi="JetBrains Mono" w:cs="JetBrains Mono"/>
                <w:sz w:val="19"/>
              </w:rPr>
              <w:t xml:space="preserve">Financial crime, AML &amp; mispriced risk</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38</w:t>
            </w:r>
          </w:p>
        </w:tc>
      </w:tr>
      <w:tr>
        <w:tc>
          <w:tcPr>
            <w:tcW w:w="7200" w:type="dxa"/>
            <w:tcBorders>
              <w:bottom w:val="single" w:sz="4" w:space="0" w:color="C9D1CE"/>
            </w:tcBorders>
          </w:tcPr>
          <w:p>
            <w:pPr>
              <w:spacing w:before="40" w:after="40"/>
            </w:pPr>
            <w:r>
              <w:rPr>
                <w:rFonts w:ascii="JetBrains Mono" w:hAnsi="JetBrains Mono" w:cs="JetBrains Mono"/>
                <w:sz w:val="19"/>
              </w:rPr>
              <w:t xml:space="preserve">Other / social &amp; labor harm</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23</w:t>
            </w:r>
          </w:p>
        </w:tc>
      </w:tr>
      <w:tr>
        <w:tc>
          <w:tcPr>
            <w:tcW w:w="7200" w:type="dxa"/>
            <w:tcBorders>
              <w:bottom w:val="single" w:sz="4" w:space="0" w:color="C9D1CE"/>
            </w:tcBorders>
          </w:tcPr>
          <w:p>
            <w:pPr>
              <w:spacing w:before="40" w:after="40"/>
            </w:pPr>
            <w:r>
              <w:rPr>
                <w:rFonts w:ascii="JetBrains Mono" w:hAnsi="JetBrains Mono" w:cs="JetBrains Mono"/>
                <w:sz w:val="19"/>
              </w:rPr>
              <w:t xml:space="preserve">Illicit trade &amp; tax/excise evasion</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23</w:t>
            </w:r>
          </w:p>
        </w:tc>
      </w:tr>
      <w:tr>
        <w:tc>
          <w:tcPr>
            <w:tcW w:w="7200" w:type="dxa"/>
            <w:tcBorders>
              <w:bottom w:val="single" w:sz="4" w:space="0" w:color="C9D1CE"/>
            </w:tcBorders>
          </w:tcPr>
          <w:p>
            <w:pPr>
              <w:spacing w:before="40" w:after="40"/>
            </w:pPr>
            <w:r>
              <w:rPr>
                <w:rFonts w:ascii="JetBrains Mono" w:hAnsi="JetBrains Mono" w:cs="JetBrains Mono"/>
                <w:sz w:val="19"/>
              </w:rPr>
              <w:t xml:space="preserve">AI safety &amp; governance failure</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19</w:t>
            </w:r>
          </w:p>
        </w:tc>
      </w:tr>
    </w:tbl>
    <w:p>
      <w:pPr>
        <w:spacing w:after="120"/>
      </w:pPr>
    </w:p>
    <w:p>
      <w:pPr>
        <w:keepNext/>
        <w:keepLines/>
        <w:spacing w:before="240" w:after="60"/>
      </w:pPr>
      <w:r>
        <w:rPr>
          <w:rFonts w:ascii="JetBrains Mono" w:hAnsi="JetBrains Mono" w:cs="JetBrains Mono"/>
          <w:b/>
          <w:sz w:val="25"/>
        </w:rPr>
        <w:t xml:space="preserve">harm_family_confidence</w:t>
      </w:r>
    </w:p>
    <w:p>
      <w:pPr>
        <w:keepNext/>
        <w:keepLines/>
        <w:spacing w:before="0" w:after="60"/>
      </w:pPr>
      <w:r>
        <w:rPr>
          <w:rFonts w:ascii="JetBrains Mono" w:hAnsi="JetBrains Mono" w:cs="JetBrains Mono"/>
          <w:color w:val="6B8F8A"/>
          <w:sz w:val="17"/>
        </w:rPr>
        <w:t xml:space="preserve">String · coverage: 100%</w:t>
      </w:r>
    </w:p>
    <w:p>
      <w:pPr/>
      <w:r>
        <w:rPr>
          <w:rFonts w:cs="Inter"/>
        </w:rPr>
        <w:t xml:space="preserve">Coder confidence in the harm family assignment.</w:t>
      </w:r>
    </w:p>
    <w:tbl>
      <w:tblPr>
        <w:tblW w:w="0" w:type="auto"/>
        <w:tblLayout w:type="fixed"/>
        <w:tblLook w:val="04A0" w:firstRow="1" w:lastRow="0" w:firstColumn="1" w:lastColumn="0" w:noHBand="0" w:noVBand="1"/>
      </w:tblPr>
      <w:tblGrid>
        <w:gridCol w:w="3200"/>
        <w:gridCol w:w="900"/>
        <w:gridCol w:w="4828"/>
      </w:tblGrid>
      <w:tr>
        <w:trPr>
          <w:tblHeader/>
        </w:trPr>
        <w:tc>
          <w:tcPr>
            <w:tcW w:w="3200" w:type="dxa"/>
            <w:shd w:val="clear" w:color="auto" w:fill="004040"/>
          </w:tcPr>
          <w:p>
            <w:pPr>
              <w:spacing w:before="40" w:after="40"/>
            </w:pPr>
            <w:r>
              <w:rPr>
                <w:rFonts w:cs="Inter"/>
                <w:b/>
                <w:color w:val="FFFFFF"/>
                <w:sz w:val="18"/>
              </w:rPr>
              <w:t xml:space="preserve">Value</w:t>
            </w:r>
          </w:p>
        </w:tc>
        <w:tc>
          <w:tcPr>
            <w:tcW w:w="900" w:type="dxa"/>
            <w:shd w:val="clear" w:color="auto" w:fill="004040"/>
          </w:tcPr>
          <w:p>
            <w:pPr>
              <w:spacing w:before="40" w:after="40"/>
              <w:jc w:val="right"/>
            </w:pPr>
            <w:r>
              <w:rPr>
                <w:rFonts w:cs="Inter"/>
                <w:b/>
                <w:color w:val="FFFFFF"/>
                <w:sz w:val="18"/>
              </w:rPr>
              <w:t xml:space="preserve">Count</w:t>
            </w:r>
          </w:p>
        </w:tc>
        <w:tc>
          <w:tcPr>
            <w:tcW w:w="4828" w:type="dxa"/>
            <w:shd w:val="clear" w:color="auto" w:fill="004040"/>
          </w:tcPr>
          <w:p>
            <w:pPr>
              <w:spacing w:before="40" w:after="40"/>
            </w:pPr>
            <w:r>
              <w:rPr>
                <w:rFonts w:cs="Inter"/>
                <w:b/>
                <w:color w:val="FFFFFF"/>
                <w:sz w:val="18"/>
              </w:rPr>
              <w:t xml:space="preserve">Definition</w:t>
            </w:r>
          </w:p>
        </w:tc>
      </w:tr>
      <w:tr>
        <w:tc>
          <w:tcPr>
            <w:tcW w:w="3200" w:type="dxa"/>
            <w:tcBorders>
              <w:bottom w:val="single" w:sz="4" w:space="0" w:color="C9D1CE"/>
            </w:tcBorders>
          </w:tcPr>
          <w:p>
            <w:pPr>
              <w:spacing w:before="40" w:after="40"/>
            </w:pPr>
            <w:r>
              <w:rPr>
                <w:rFonts w:ascii="JetBrains Mono" w:hAnsi="JetBrains Mono" w:cs="JetBrains Mono"/>
                <w:sz w:val="19"/>
              </w:rPr>
              <w:t xml:space="preserve">high</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604</w:t>
            </w:r>
          </w:p>
        </w:tc>
        <w:tc>
          <w:tcPr>
            <w:tcW w:w="4828" w:type="dxa"/>
            <w:tcBorders>
              <w:bottom w:val="single" w:sz="4" w:space="0" w:color="C9D1CE"/>
            </w:tcBorders>
          </w:tcPr>
          <w:p>
            <w:pPr>
              <w:spacing w:before="40" w:after="40"/>
            </w:pPr>
            <w:r>
              <w:rPr>
                <w:rFonts w:cs="Inter"/>
                <w:sz w:val="19"/>
              </w:rPr>
              <w:t xml:space="preserve">The assignment followed directly from the recorded fields.</w:t>
            </w:r>
          </w:p>
        </w:tc>
      </w:tr>
      <w:tr>
        <w:tc>
          <w:tcPr>
            <w:tcW w:w="3200" w:type="dxa"/>
            <w:tcBorders>
              <w:bottom w:val="single" w:sz="4" w:space="0" w:color="C9D1CE"/>
            </w:tcBorders>
          </w:tcPr>
          <w:p>
            <w:pPr>
              <w:spacing w:before="40" w:after="40"/>
            </w:pPr>
            <w:r>
              <w:rPr>
                <w:rFonts w:ascii="JetBrains Mono" w:hAnsi="JetBrains Mono" w:cs="JetBrains Mono"/>
                <w:sz w:val="19"/>
              </w:rPr>
              <w:t xml:space="preserve">medium</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15</w:t>
            </w:r>
          </w:p>
        </w:tc>
        <w:tc>
          <w:tcPr>
            <w:tcW w:w="4828" w:type="dxa"/>
            <w:tcBorders>
              <w:bottom w:val="single" w:sz="4" w:space="0" w:color="C9D1CE"/>
            </w:tcBorders>
          </w:tcPr>
          <w:p>
            <w:pPr>
              <w:spacing w:before="40" w:after="40"/>
            </w:pPr>
            <w:r>
              <w:rPr>
                <w:rFonts w:cs="Inter"/>
                <w:sz w:val="19"/>
              </w:rPr>
              <w:t xml:space="preserve">The assignment required a judgement between two defensible categories. Every medium confidence row was reviewed by hand.</w:t>
            </w:r>
          </w:p>
        </w:tc>
      </w:tr>
    </w:tbl>
    <w:p>
      <w:pPr>
        <w:spacing w:after="120"/>
      </w:pPr>
    </w:p>
    <w:p>
      <w:pPr>
        <w:keepNext/>
        <w:keepLines/>
        <w:spacing w:before="240" w:after="60"/>
      </w:pPr>
      <w:r>
        <w:rPr>
          <w:rFonts w:ascii="JetBrains Mono" w:hAnsi="JetBrains Mono" w:cs="JetBrains Mono"/>
          <w:b/>
          <w:sz w:val="25"/>
        </w:rPr>
        <w:t xml:space="preserve">sector_family</w:t>
      </w:r>
    </w:p>
    <w:p>
      <w:pPr>
        <w:keepNext/>
        <w:keepLines/>
        <w:spacing w:before="0" w:after="60"/>
      </w:pPr>
      <w:r>
        <w:rPr>
          <w:rFonts w:ascii="JetBrains Mono" w:hAnsi="JetBrains Mono" w:cs="JetBrains Mono"/>
          <w:color w:val="6B8F8A"/>
          <w:sz w:val="17"/>
        </w:rPr>
        <w:t xml:space="preserve">String · coverage: 100%</w:t>
      </w:r>
    </w:p>
    <w:p>
      <w:pPr/>
      <w:r>
        <w:rPr>
          <w:rFonts w:cs="Inter"/>
        </w:rPr>
        <w:t xml:space="preserve">The sector of the instrument, from a controlled list.</w:t>
      </w:r>
    </w:p>
    <w:tbl>
      <w:tblPr>
        <w:tblW w:w="0" w:type="auto"/>
        <w:tblLayout w:type="fixed"/>
        <w:tblLook w:val="04A0" w:firstRow="1" w:lastRow="0" w:firstColumn="1" w:lastColumn="0" w:noHBand="0" w:noVBand="1"/>
      </w:tblPr>
      <w:tblGrid>
        <w:gridCol w:w="7200"/>
        <w:gridCol w:w="1728"/>
      </w:tblGrid>
      <w:tr>
        <w:trPr>
          <w:tblHeader/>
        </w:trPr>
        <w:tc>
          <w:tcPr>
            <w:tcW w:w="7200" w:type="dxa"/>
            <w:shd w:val="clear" w:color="auto" w:fill="004040"/>
          </w:tcPr>
          <w:p>
            <w:pPr>
              <w:spacing w:before="40" w:after="40"/>
            </w:pPr>
            <w:r>
              <w:rPr>
                <w:rFonts w:cs="Inter"/>
                <w:b/>
                <w:color w:val="FFFFFF"/>
                <w:sz w:val="18"/>
              </w:rPr>
              <w:t xml:space="preserve">Value</w:t>
            </w:r>
          </w:p>
        </w:tc>
        <w:tc>
          <w:tcPr>
            <w:tcW w:w="1728" w:type="dxa"/>
            <w:shd w:val="clear" w:color="auto" w:fill="004040"/>
          </w:tcPr>
          <w:p>
            <w:pPr>
              <w:spacing w:before="40" w:after="40"/>
              <w:jc w:val="right"/>
            </w:pPr>
            <w:r>
              <w:rPr>
                <w:rFonts w:cs="Inter"/>
                <w:b/>
                <w:color w:val="FFFFFF"/>
                <w:sz w:val="18"/>
              </w:rPr>
              <w:t xml:space="preserve">Count</w:t>
            </w:r>
          </w:p>
        </w:tc>
      </w:tr>
      <w:tr>
        <w:tc>
          <w:tcPr>
            <w:tcW w:w="7200" w:type="dxa"/>
            <w:tcBorders>
              <w:bottom w:val="single" w:sz="4" w:space="0" w:color="C9D1CE"/>
            </w:tcBorders>
          </w:tcPr>
          <w:p>
            <w:pPr>
              <w:spacing w:before="40" w:after="40"/>
            </w:pPr>
            <w:r>
              <w:rPr>
                <w:rFonts w:ascii="JetBrains Mono" w:hAnsi="JetBrains Mono" w:cs="JetBrains Mono"/>
                <w:sz w:val="19"/>
              </w:rPr>
              <w:t xml:space="preserve">Digital identity &amp; civil registration</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94</w:t>
            </w:r>
          </w:p>
        </w:tc>
      </w:tr>
      <w:tr>
        <w:tc>
          <w:tcPr>
            <w:tcW w:w="7200" w:type="dxa"/>
            <w:tcBorders>
              <w:bottom w:val="single" w:sz="4" w:space="0" w:color="C9D1CE"/>
            </w:tcBorders>
          </w:tcPr>
          <w:p>
            <w:pPr>
              <w:spacing w:before="40" w:after="40"/>
            </w:pPr>
            <w:r>
              <w:rPr>
                <w:rFonts w:ascii="JetBrains Mono" w:hAnsi="JetBrains Mono" w:cs="JetBrains Mono"/>
                <w:sz w:val="19"/>
              </w:rPr>
              <w:t xml:space="preserve">Cross-sector conformity assessment &amp; accreditation</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68</w:t>
            </w:r>
          </w:p>
        </w:tc>
      </w:tr>
      <w:tr>
        <w:tc>
          <w:tcPr>
            <w:tcW w:w="7200" w:type="dxa"/>
            <w:tcBorders>
              <w:bottom w:val="single" w:sz="4" w:space="0" w:color="C9D1CE"/>
            </w:tcBorders>
          </w:tcPr>
          <w:p>
            <w:pPr>
              <w:spacing w:before="40" w:after="40"/>
            </w:pPr>
            <w:r>
              <w:rPr>
                <w:rFonts w:ascii="JetBrains Mono" w:hAnsi="JetBrains Mono" w:cs="JetBrains Mono"/>
                <w:sz w:val="19"/>
              </w:rPr>
              <w:t xml:space="preserve">Food, agriculture &amp; beverages</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51</w:t>
            </w:r>
          </w:p>
        </w:tc>
      </w:tr>
      <w:tr>
        <w:tc>
          <w:tcPr>
            <w:tcW w:w="7200" w:type="dxa"/>
            <w:tcBorders>
              <w:bottom w:val="single" w:sz="4" w:space="0" w:color="C9D1CE"/>
            </w:tcBorders>
          </w:tcPr>
          <w:p>
            <w:pPr>
              <w:spacing w:before="40" w:after="40"/>
            </w:pPr>
            <w:r>
              <w:rPr>
                <w:rFonts w:ascii="JetBrains Mono" w:hAnsi="JetBrains Mono" w:cs="JetBrains Mono"/>
                <w:sz w:val="19"/>
              </w:rPr>
              <w:t xml:space="preserve">Consumer &amp; manufactured products</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41</w:t>
            </w:r>
          </w:p>
        </w:tc>
      </w:tr>
      <w:tr>
        <w:tc>
          <w:tcPr>
            <w:tcW w:w="7200" w:type="dxa"/>
            <w:tcBorders>
              <w:bottom w:val="single" w:sz="4" w:space="0" w:color="C9D1CE"/>
            </w:tcBorders>
          </w:tcPr>
          <w:p>
            <w:pPr>
              <w:spacing w:before="40" w:after="40"/>
            </w:pPr>
            <w:r>
              <w:rPr>
                <w:rFonts w:ascii="JetBrains Mono" w:hAnsi="JetBrains Mono" w:cs="JetBrains Mono"/>
                <w:sz w:val="19"/>
              </w:rPr>
              <w:t xml:space="preserve">Cybersecurity &amp; software supply chain</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38</w:t>
            </w:r>
          </w:p>
        </w:tc>
      </w:tr>
      <w:tr>
        <w:tc>
          <w:tcPr>
            <w:tcW w:w="7200" w:type="dxa"/>
            <w:tcBorders>
              <w:bottom w:val="single" w:sz="4" w:space="0" w:color="C9D1CE"/>
            </w:tcBorders>
          </w:tcPr>
          <w:p>
            <w:pPr>
              <w:spacing w:before="40" w:after="40"/>
            </w:pPr>
            <w:r>
              <w:rPr>
                <w:rFonts w:ascii="JetBrains Mono" w:hAnsi="JetBrains Mono" w:cs="JetBrains Mono"/>
                <w:sz w:val="19"/>
              </w:rPr>
              <w:t xml:space="preserve">Minerals, metals &amp; responsible sourcing</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36</w:t>
            </w:r>
          </w:p>
        </w:tc>
      </w:tr>
      <w:tr>
        <w:tc>
          <w:tcPr>
            <w:tcW w:w="7200" w:type="dxa"/>
            <w:tcBorders>
              <w:bottom w:val="single" w:sz="4" w:space="0" w:color="C9D1CE"/>
            </w:tcBorders>
          </w:tcPr>
          <w:p>
            <w:pPr>
              <w:spacing w:before="40" w:after="40"/>
            </w:pPr>
            <w:r>
              <w:rPr>
                <w:rFonts w:ascii="JetBrains Mono" w:hAnsi="JetBrains Mono" w:cs="JetBrains Mono"/>
                <w:sz w:val="19"/>
              </w:rPr>
              <w:t xml:space="preserve">Trade, customs &amp; logistics</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34</w:t>
            </w:r>
          </w:p>
        </w:tc>
      </w:tr>
      <w:tr>
        <w:tc>
          <w:tcPr>
            <w:tcW w:w="7200" w:type="dxa"/>
            <w:tcBorders>
              <w:bottom w:val="single" w:sz="4" w:space="0" w:color="C9D1CE"/>
            </w:tcBorders>
          </w:tcPr>
          <w:p>
            <w:pPr>
              <w:spacing w:before="40" w:after="40"/>
            </w:pPr>
            <w:r>
              <w:rPr>
                <w:rFonts w:ascii="JetBrains Mono" w:hAnsi="JetBrains Mono" w:cs="JetBrains Mono"/>
                <w:sz w:val="19"/>
              </w:rPr>
              <w:t xml:space="preserve">Financial services &amp; AML</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31</w:t>
            </w:r>
          </w:p>
        </w:tc>
      </w:tr>
      <w:tr>
        <w:tc>
          <w:tcPr>
            <w:tcW w:w="7200" w:type="dxa"/>
            <w:tcBorders>
              <w:bottom w:val="single" w:sz="4" w:space="0" w:color="C9D1CE"/>
            </w:tcBorders>
          </w:tcPr>
          <w:p>
            <w:pPr>
              <w:spacing w:before="40" w:after="40"/>
            </w:pPr>
            <w:r>
              <w:rPr>
                <w:rFonts w:ascii="JetBrains Mono" w:hAnsi="JetBrains Mono" w:cs="JetBrains Mono"/>
                <w:sz w:val="19"/>
              </w:rPr>
              <w:t xml:space="preserve">Energy, carbon &amp; environmental claims</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28</w:t>
            </w:r>
          </w:p>
        </w:tc>
      </w:tr>
      <w:tr>
        <w:tc>
          <w:tcPr>
            <w:tcW w:w="7200" w:type="dxa"/>
            <w:tcBorders>
              <w:bottom w:val="single" w:sz="4" w:space="0" w:color="C9D1CE"/>
            </w:tcBorders>
          </w:tcPr>
          <w:p>
            <w:pPr>
              <w:spacing w:before="40" w:after="40"/>
            </w:pPr>
            <w:r>
              <w:rPr>
                <w:rFonts w:ascii="JetBrains Mono" w:hAnsi="JetBrains Mono" w:cs="JetBrains Mono"/>
                <w:sz w:val="19"/>
              </w:rPr>
              <w:t xml:space="preserve">Research &amp; data integrity</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28</w:t>
            </w:r>
          </w:p>
        </w:tc>
      </w:tr>
      <w:tr>
        <w:tc>
          <w:tcPr>
            <w:tcW w:w="7200" w:type="dxa"/>
            <w:tcBorders>
              <w:bottom w:val="single" w:sz="4" w:space="0" w:color="C9D1CE"/>
            </w:tcBorders>
          </w:tcPr>
          <w:p>
            <w:pPr>
              <w:spacing w:before="40" w:after="40"/>
            </w:pPr>
            <w:r>
              <w:rPr>
                <w:rFonts w:ascii="JetBrains Mono" w:hAnsi="JetBrains Mono" w:cs="JetBrains Mono"/>
                <w:sz w:val="19"/>
              </w:rPr>
              <w:t xml:space="preserve">Legal, notarial &amp; e-commerce</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27</w:t>
            </w:r>
          </w:p>
        </w:tc>
      </w:tr>
      <w:tr>
        <w:tc>
          <w:tcPr>
            <w:tcW w:w="7200" w:type="dxa"/>
            <w:tcBorders>
              <w:bottom w:val="single" w:sz="4" w:space="0" w:color="C9D1CE"/>
            </w:tcBorders>
          </w:tcPr>
          <w:p>
            <w:pPr>
              <w:spacing w:before="40" w:after="40"/>
            </w:pPr>
            <w:r>
              <w:rPr>
                <w:rFonts w:ascii="JetBrains Mono" w:hAnsi="JetBrains Mono" w:cs="JetBrains Mono"/>
                <w:sz w:val="19"/>
              </w:rPr>
              <w:t xml:space="preserve">Payments &amp; cards</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25</w:t>
            </w:r>
          </w:p>
        </w:tc>
      </w:tr>
      <w:tr>
        <w:tc>
          <w:tcPr>
            <w:tcW w:w="7200" w:type="dxa"/>
            <w:tcBorders>
              <w:bottom w:val="single" w:sz="4" w:space="0" w:color="C9D1CE"/>
            </w:tcBorders>
          </w:tcPr>
          <w:p>
            <w:pPr>
              <w:spacing w:before="40" w:after="40"/>
            </w:pPr>
            <w:r>
              <w:rPr>
                <w:rFonts w:ascii="JetBrains Mono" w:hAnsi="JetBrains Mono" w:cs="JetBrains Mono"/>
                <w:sz w:val="19"/>
              </w:rPr>
              <w:t xml:space="preserve">Pharmaceuticals &amp; medical devices</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23</w:t>
            </w:r>
          </w:p>
        </w:tc>
      </w:tr>
      <w:tr>
        <w:tc>
          <w:tcPr>
            <w:tcW w:w="7200" w:type="dxa"/>
            <w:tcBorders>
              <w:bottom w:val="single" w:sz="4" w:space="0" w:color="C9D1CE"/>
            </w:tcBorders>
          </w:tcPr>
          <w:p>
            <w:pPr>
              <w:spacing w:before="40" w:after="40"/>
            </w:pPr>
            <w:r>
              <w:rPr>
                <w:rFonts w:ascii="JetBrains Mono" w:hAnsi="JetBrains Mono" w:cs="JetBrains Mono"/>
                <w:sz w:val="19"/>
              </w:rPr>
              <w:t xml:space="preserve">Internet infrastructure &amp; Web PKI</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19</w:t>
            </w:r>
          </w:p>
        </w:tc>
      </w:tr>
      <w:tr>
        <w:tc>
          <w:tcPr>
            <w:tcW w:w="7200" w:type="dxa"/>
            <w:tcBorders>
              <w:bottom w:val="single" w:sz="4" w:space="0" w:color="C9D1CE"/>
            </w:tcBorders>
          </w:tcPr>
          <w:p>
            <w:pPr>
              <w:spacing w:before="40" w:after="40"/>
            </w:pPr>
            <w:r>
              <w:rPr>
                <w:rFonts w:ascii="JetBrains Mono" w:hAnsi="JetBrains Mono" w:cs="JetBrains Mono"/>
                <w:sz w:val="19"/>
              </w:rPr>
              <w:t xml:space="preserve">AI trust &amp; safety</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18</w:t>
            </w:r>
          </w:p>
        </w:tc>
      </w:tr>
      <w:tr>
        <w:tc>
          <w:tcPr>
            <w:tcW w:w="7200" w:type="dxa"/>
            <w:tcBorders>
              <w:bottom w:val="single" w:sz="4" w:space="0" w:color="C9D1CE"/>
            </w:tcBorders>
          </w:tcPr>
          <w:p>
            <w:pPr>
              <w:spacing w:before="40" w:after="40"/>
            </w:pPr>
            <w:r>
              <w:rPr>
                <w:rFonts w:ascii="JetBrains Mono" w:hAnsi="JetBrains Mono" w:cs="JetBrains Mono"/>
                <w:sz w:val="19"/>
              </w:rPr>
              <w:t xml:space="preserve">Tobacco &amp; excise goods</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17</w:t>
            </w:r>
          </w:p>
        </w:tc>
      </w:tr>
      <w:tr>
        <w:tc>
          <w:tcPr>
            <w:tcW w:w="7200" w:type="dxa"/>
            <w:tcBorders>
              <w:bottom w:val="single" w:sz="4" w:space="0" w:color="C9D1CE"/>
            </w:tcBorders>
          </w:tcPr>
          <w:p>
            <w:pPr>
              <w:spacing w:before="40" w:after="40"/>
            </w:pPr>
            <w:r>
              <w:rPr>
                <w:rFonts w:ascii="JetBrains Mono" w:hAnsi="JetBrains Mono" w:cs="JetBrains Mono"/>
                <w:sz w:val="19"/>
              </w:rPr>
              <w:t xml:space="preserve">Metrology &amp; measurement</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17</w:t>
            </w:r>
          </w:p>
        </w:tc>
      </w:tr>
      <w:tr>
        <w:tc>
          <w:tcPr>
            <w:tcW w:w="7200" w:type="dxa"/>
            <w:tcBorders>
              <w:bottom w:val="single" w:sz="4" w:space="0" w:color="C9D1CE"/>
            </w:tcBorders>
          </w:tcPr>
          <w:p>
            <w:pPr>
              <w:spacing w:before="40" w:after="40"/>
            </w:pPr>
            <w:r>
              <w:rPr>
                <w:rFonts w:ascii="JetBrains Mono" w:hAnsi="JetBrains Mono" w:cs="JetBrains Mono"/>
                <w:sz w:val="19"/>
              </w:rPr>
              <w:t xml:space="preserve">Seafood &amp; fisheries</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12</w:t>
            </w:r>
          </w:p>
        </w:tc>
      </w:tr>
      <w:tr>
        <w:tc>
          <w:tcPr>
            <w:tcW w:w="7200" w:type="dxa"/>
            <w:tcBorders>
              <w:bottom w:val="single" w:sz="4" w:space="0" w:color="C9D1CE"/>
            </w:tcBorders>
          </w:tcPr>
          <w:p>
            <w:pPr>
              <w:spacing w:before="40" w:after="40"/>
            </w:pPr>
            <w:r>
              <w:rPr>
                <w:rFonts w:ascii="JetBrains Mono" w:hAnsi="JetBrains Mono" w:cs="JetBrains Mono"/>
                <w:sz w:val="19"/>
              </w:rPr>
              <w:t xml:space="preserve">Forestry &amp; timber</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10</w:t>
            </w:r>
          </w:p>
        </w:tc>
      </w:tr>
      <w:tr>
        <w:tc>
          <w:tcPr>
            <w:tcW w:w="7200" w:type="dxa"/>
            <w:tcBorders>
              <w:bottom w:val="single" w:sz="4" w:space="0" w:color="C9D1CE"/>
            </w:tcBorders>
          </w:tcPr>
          <w:p>
            <w:pPr>
              <w:spacing w:before="40" w:after="40"/>
            </w:pPr>
            <w:r>
              <w:rPr>
                <w:rFonts w:ascii="JetBrains Mono" w:hAnsi="JetBrains Mono" w:cs="JetBrains Mono"/>
                <w:sz w:val="19"/>
              </w:rPr>
              <w:t xml:space="preserve">Content &amp; media integrity</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1</w:t>
            </w:r>
          </w:p>
        </w:tc>
      </w:tr>
      <w:tr>
        <w:tc>
          <w:tcPr>
            <w:tcW w:w="7200" w:type="dxa"/>
            <w:tcBorders>
              <w:bottom w:val="single" w:sz="4" w:space="0" w:color="C9D1CE"/>
            </w:tcBorders>
          </w:tcPr>
          <w:p>
            <w:pPr>
              <w:spacing w:before="40" w:after="40"/>
            </w:pPr>
            <w:r>
              <w:rPr>
                <w:rFonts w:ascii="JetBrains Mono" w:hAnsi="JetBrains Mono" w:cs="JetBrains Mono"/>
                <w:sz w:val="19"/>
              </w:rPr>
              <w:t xml:space="preserve">Other / unclear</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1</w:t>
            </w:r>
          </w:p>
        </w:tc>
      </w:tr>
    </w:tbl>
    <w:p>
      <w:pPr>
        <w:spacing w:after="120"/>
      </w:pPr>
    </w:p>
    <w:p>
      <w:pPr>
        <w:keepNext/>
        <w:keepLines/>
        <w:spacing w:before="240" w:after="60"/>
      </w:pPr>
      <w:r>
        <w:rPr>
          <w:rFonts w:ascii="JetBrains Mono" w:hAnsi="JetBrains Mono" w:cs="JetBrains Mono"/>
          <w:b/>
          <w:sz w:val="25"/>
        </w:rPr>
        <w:t xml:space="preserve">sector_family_confidence</w:t>
      </w:r>
    </w:p>
    <w:p>
      <w:pPr>
        <w:keepNext/>
        <w:keepLines/>
        <w:spacing w:before="0" w:after="60"/>
      </w:pPr>
      <w:r>
        <w:rPr>
          <w:rFonts w:ascii="JetBrains Mono" w:hAnsi="JetBrains Mono" w:cs="JetBrains Mono"/>
          <w:color w:val="6B8F8A"/>
          <w:sz w:val="17"/>
        </w:rPr>
        <w:t xml:space="preserve">String · coverage: 100%</w:t>
      </w:r>
    </w:p>
    <w:p>
      <w:pPr/>
      <w:r>
        <w:rPr>
          <w:rFonts w:cs="Inter"/>
        </w:rPr>
        <w:t xml:space="preserve">Coder confidence in the sector family assignment.</w:t>
      </w:r>
    </w:p>
    <w:tbl>
      <w:tblPr>
        <w:tblW w:w="0" w:type="auto"/>
        <w:tblLayout w:type="fixed"/>
        <w:tblLook w:val="04A0" w:firstRow="1" w:lastRow="0" w:firstColumn="1" w:lastColumn="0" w:noHBand="0" w:noVBand="1"/>
      </w:tblPr>
      <w:tblGrid>
        <w:gridCol w:w="3200"/>
        <w:gridCol w:w="900"/>
        <w:gridCol w:w="4828"/>
      </w:tblGrid>
      <w:tr>
        <w:trPr>
          <w:tblHeader/>
        </w:trPr>
        <w:tc>
          <w:tcPr>
            <w:tcW w:w="3200" w:type="dxa"/>
            <w:shd w:val="clear" w:color="auto" w:fill="004040"/>
          </w:tcPr>
          <w:p>
            <w:pPr>
              <w:spacing w:before="40" w:after="40"/>
            </w:pPr>
            <w:r>
              <w:rPr>
                <w:rFonts w:cs="Inter"/>
                <w:b/>
                <w:color w:val="FFFFFF"/>
                <w:sz w:val="18"/>
              </w:rPr>
              <w:t xml:space="preserve">Value</w:t>
            </w:r>
          </w:p>
        </w:tc>
        <w:tc>
          <w:tcPr>
            <w:tcW w:w="900" w:type="dxa"/>
            <w:shd w:val="clear" w:color="auto" w:fill="004040"/>
          </w:tcPr>
          <w:p>
            <w:pPr>
              <w:spacing w:before="40" w:after="40"/>
              <w:jc w:val="right"/>
            </w:pPr>
            <w:r>
              <w:rPr>
                <w:rFonts w:cs="Inter"/>
                <w:b/>
                <w:color w:val="FFFFFF"/>
                <w:sz w:val="18"/>
              </w:rPr>
              <w:t xml:space="preserve">Count</w:t>
            </w:r>
          </w:p>
        </w:tc>
        <w:tc>
          <w:tcPr>
            <w:tcW w:w="4828" w:type="dxa"/>
            <w:shd w:val="clear" w:color="auto" w:fill="004040"/>
          </w:tcPr>
          <w:p>
            <w:pPr>
              <w:spacing w:before="40" w:after="40"/>
            </w:pPr>
            <w:r>
              <w:rPr>
                <w:rFonts w:cs="Inter"/>
                <w:b/>
                <w:color w:val="FFFFFF"/>
                <w:sz w:val="18"/>
              </w:rPr>
              <w:t xml:space="preserve">Definition</w:t>
            </w:r>
          </w:p>
        </w:tc>
      </w:tr>
      <w:tr>
        <w:tc>
          <w:tcPr>
            <w:tcW w:w="3200" w:type="dxa"/>
            <w:tcBorders>
              <w:bottom w:val="single" w:sz="4" w:space="0" w:color="C9D1CE"/>
            </w:tcBorders>
          </w:tcPr>
          <w:p>
            <w:pPr>
              <w:spacing w:before="40" w:after="40"/>
            </w:pPr>
            <w:r>
              <w:rPr>
                <w:rFonts w:ascii="JetBrains Mono" w:hAnsi="JetBrains Mono" w:cs="JetBrains Mono"/>
                <w:sz w:val="19"/>
              </w:rPr>
              <w:t xml:space="preserve">high</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597</w:t>
            </w:r>
          </w:p>
        </w:tc>
        <w:tc>
          <w:tcPr>
            <w:tcW w:w="4828" w:type="dxa"/>
            <w:tcBorders>
              <w:bottom w:val="single" w:sz="4" w:space="0" w:color="C9D1CE"/>
            </w:tcBorders>
          </w:tcPr>
          <w:p>
            <w:pPr>
              <w:spacing w:before="40" w:after="40"/>
            </w:pPr>
            <w:r>
              <w:rPr>
                <w:rFonts w:cs="Inter"/>
                <w:sz w:val="19"/>
              </w:rPr>
              <w:t xml:space="preserve">The assignment followed directly from the recorded fields.</w:t>
            </w:r>
          </w:p>
        </w:tc>
      </w:tr>
      <w:tr>
        <w:tc>
          <w:tcPr>
            <w:tcW w:w="3200" w:type="dxa"/>
            <w:tcBorders>
              <w:bottom w:val="single" w:sz="4" w:space="0" w:color="C9D1CE"/>
            </w:tcBorders>
          </w:tcPr>
          <w:p>
            <w:pPr>
              <w:spacing w:before="40" w:after="40"/>
            </w:pPr>
            <w:r>
              <w:rPr>
                <w:rFonts w:ascii="JetBrains Mono" w:hAnsi="JetBrains Mono" w:cs="JetBrains Mono"/>
                <w:sz w:val="19"/>
              </w:rPr>
              <w:t xml:space="preserve">medium</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21</w:t>
            </w:r>
          </w:p>
        </w:tc>
        <w:tc>
          <w:tcPr>
            <w:tcW w:w="4828" w:type="dxa"/>
            <w:tcBorders>
              <w:bottom w:val="single" w:sz="4" w:space="0" w:color="C9D1CE"/>
            </w:tcBorders>
          </w:tcPr>
          <w:p>
            <w:pPr>
              <w:spacing w:before="40" w:after="40"/>
            </w:pPr>
            <w:r>
              <w:rPr>
                <w:rFonts w:cs="Inter"/>
                <w:sz w:val="19"/>
              </w:rPr>
              <w:t xml:space="preserve">The assignment required a judgement between two defensible categories.</w:t>
            </w:r>
          </w:p>
        </w:tc>
      </w:tr>
      <w:tr>
        <w:tc>
          <w:tcPr>
            <w:tcW w:w="3200" w:type="dxa"/>
            <w:tcBorders>
              <w:bottom w:val="single" w:sz="4" w:space="0" w:color="C9D1CE"/>
            </w:tcBorders>
          </w:tcPr>
          <w:p>
            <w:pPr>
              <w:spacing w:before="40" w:after="40"/>
            </w:pPr>
            <w:r>
              <w:rPr>
                <w:rFonts w:ascii="JetBrains Mono" w:hAnsi="JetBrains Mono" w:cs="JetBrains Mono"/>
                <w:sz w:val="19"/>
              </w:rPr>
              <w:t xml:space="preserve">high (review-corrected)</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1</w:t>
            </w:r>
          </w:p>
        </w:tc>
        <w:tc>
          <w:tcPr>
            <w:tcW w:w="4828" w:type="dxa"/>
            <w:tcBorders>
              <w:bottom w:val="single" w:sz="4" w:space="0" w:color="C9D1CE"/>
            </w:tcBorders>
          </w:tcPr>
          <w:p>
            <w:pPr>
              <w:spacing w:before="40" w:after="40"/>
            </w:pPr>
            <w:r>
              <w:rPr>
                <w:rFonts w:cs="Inter"/>
                <w:sz w:val="19"/>
              </w:rPr>
              <w:t xml:space="preserve">Assigned with high confidence after a hand correction during review.</w:t>
            </w:r>
          </w:p>
        </w:tc>
      </w:tr>
    </w:tbl>
    <w:p>
      <w:pPr>
        <w:spacing w:after="120"/>
      </w:pPr>
    </w:p>
    <w:p>
      <w:pPr>
        <w:keepNext/>
        <w:keepLines/>
        <w:spacing w:before="240" w:after="60"/>
      </w:pPr>
      <w:r>
        <w:rPr>
          <w:rFonts w:ascii="JetBrains Mono" w:hAnsi="JetBrains Mono" w:cs="JetBrains Mono"/>
          <w:b/>
          <w:sz w:val="25"/>
        </w:rPr>
        <w:t xml:space="preserve">sector_detail</w:t>
      </w:r>
    </w:p>
    <w:p>
      <w:pPr>
        <w:keepNext/>
        <w:keepLines/>
        <w:spacing w:before="0" w:after="60"/>
      </w:pPr>
      <w:r>
        <w:rPr>
          <w:rFonts w:ascii="JetBrains Mono" w:hAnsi="JetBrains Mono" w:cs="JetBrains Mono"/>
          <w:color w:val="6B8F8A"/>
          <w:sz w:val="17"/>
        </w:rPr>
        <w:t xml:space="preserve">String · coverage: 100%</w:t>
      </w:r>
    </w:p>
    <w:p>
      <w:pPr/>
      <w:r>
        <w:rPr>
          <w:rFonts w:cs="Inter"/>
        </w:rPr>
        <w:t xml:space="preserve">The sector as recorded during coding, before mapping to sector_family. Free text, not a controlled list, and frequently multi valued. Use sector_family to count.</w:t>
      </w:r>
    </w:p>
    <w:p>
      <w:pPr>
        <w:keepNext/>
        <w:keepLines/>
        <w:spacing w:before="240" w:after="60"/>
      </w:pPr>
      <w:r>
        <w:rPr>
          <w:rFonts w:ascii="JetBrains Mono" w:hAnsi="JetBrains Mono" w:cs="JetBrains Mono"/>
          <w:b/>
          <w:sz w:val="25"/>
        </w:rPr>
        <w:t xml:space="preserve">cluster</w:t>
      </w:r>
    </w:p>
    <w:p>
      <w:pPr>
        <w:keepNext/>
        <w:keepLines/>
        <w:spacing w:before="0" w:after="60"/>
      </w:pPr>
      <w:r>
        <w:rPr>
          <w:rFonts w:ascii="JetBrains Mono" w:hAnsi="JetBrains Mono" w:cs="JetBrains Mono"/>
          <w:color w:val="6B8F8A"/>
          <w:sz w:val="17"/>
        </w:rPr>
        <w:t xml:space="preserve">String · coverage: 100%</w:t>
      </w:r>
    </w:p>
    <w:p>
      <w:pPr/>
      <w:r>
        <w:rPr>
          <w:rFonts w:cs="Inter"/>
        </w:rPr>
        <w:t xml:space="preserve">The working collection the instrument was gathered under during data collection, which is why several values carry the prefix Adjacent. It describes how the search was organised, not a property of the instrument, and it is not a sector variable.</w:t>
      </w:r>
    </w:p>
    <w:tbl>
      <w:tblPr>
        <w:tblW w:w="0" w:type="auto"/>
        <w:tblLayout w:type="fixed"/>
        <w:tblLook w:val="04A0" w:firstRow="1" w:lastRow="0" w:firstColumn="1" w:lastColumn="0" w:noHBand="0" w:noVBand="1"/>
      </w:tblPr>
      <w:tblGrid>
        <w:gridCol w:w="7200"/>
        <w:gridCol w:w="1728"/>
      </w:tblGrid>
      <w:tr>
        <w:trPr>
          <w:tblHeader/>
        </w:trPr>
        <w:tc>
          <w:tcPr>
            <w:tcW w:w="7200" w:type="dxa"/>
            <w:shd w:val="clear" w:color="auto" w:fill="004040"/>
          </w:tcPr>
          <w:p>
            <w:pPr>
              <w:spacing w:before="40" w:after="40"/>
            </w:pPr>
            <w:r>
              <w:rPr>
                <w:rFonts w:cs="Inter"/>
                <w:b/>
                <w:color w:val="FFFFFF"/>
                <w:sz w:val="18"/>
              </w:rPr>
              <w:t xml:space="preserve">Value</w:t>
            </w:r>
          </w:p>
        </w:tc>
        <w:tc>
          <w:tcPr>
            <w:tcW w:w="1728" w:type="dxa"/>
            <w:shd w:val="clear" w:color="auto" w:fill="004040"/>
          </w:tcPr>
          <w:p>
            <w:pPr>
              <w:spacing w:before="40" w:after="40"/>
              <w:jc w:val="right"/>
            </w:pPr>
            <w:r>
              <w:rPr>
                <w:rFonts w:cs="Inter"/>
                <w:b/>
                <w:color w:val="FFFFFF"/>
                <w:sz w:val="18"/>
              </w:rPr>
              <w:t xml:space="preserve">Count</w:t>
            </w:r>
          </w:p>
        </w:tc>
      </w:tr>
      <w:tr>
        <w:tc>
          <w:tcPr>
            <w:tcW w:w="7200" w:type="dxa"/>
            <w:tcBorders>
              <w:bottom w:val="single" w:sz="4" w:space="0" w:color="C9D1CE"/>
            </w:tcBorders>
          </w:tcPr>
          <w:p>
            <w:pPr>
              <w:spacing w:before="40" w:after="40"/>
            </w:pPr>
            <w:r>
              <w:rPr>
                <w:rFonts w:ascii="JetBrains Mono" w:hAnsi="JetBrains Mono" w:cs="JetBrains Mono"/>
                <w:sz w:val="19"/>
              </w:rPr>
              <w:t xml:space="preserve">Cross-sector Horizontal</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94</w:t>
            </w:r>
          </w:p>
        </w:tc>
      </w:tr>
      <w:tr>
        <w:tc>
          <w:tcPr>
            <w:tcW w:w="7200" w:type="dxa"/>
            <w:tcBorders>
              <w:bottom w:val="single" w:sz="4" w:space="0" w:color="C9D1CE"/>
            </w:tcBorders>
          </w:tcPr>
          <w:p>
            <w:pPr>
              <w:spacing w:before="40" w:after="40"/>
            </w:pPr>
            <w:r>
              <w:rPr>
                <w:rFonts w:ascii="JetBrains Mono" w:hAnsi="JetBrains Mono" w:cs="JetBrains Mono"/>
                <w:sz w:val="19"/>
              </w:rPr>
              <w:t xml:space="preserve">Adjacent: Identity &amp; PKI</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76</w:t>
            </w:r>
          </w:p>
        </w:tc>
      </w:tr>
      <w:tr>
        <w:tc>
          <w:tcPr>
            <w:tcW w:w="7200" w:type="dxa"/>
            <w:tcBorders>
              <w:bottom w:val="single" w:sz="4" w:space="0" w:color="C9D1CE"/>
            </w:tcBorders>
          </w:tcPr>
          <w:p>
            <w:pPr>
              <w:spacing w:before="40" w:after="40"/>
            </w:pPr>
            <w:r>
              <w:rPr>
                <w:rFonts w:ascii="JetBrains Mono" w:hAnsi="JetBrains Mono" w:cs="JetBrains Mono"/>
                <w:sz w:val="19"/>
              </w:rPr>
              <w:t xml:space="preserve">Food, Agriculture &amp; Seafood</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59</w:t>
            </w:r>
          </w:p>
        </w:tc>
      </w:tr>
      <w:tr>
        <w:tc>
          <w:tcPr>
            <w:tcW w:w="7200" w:type="dxa"/>
            <w:tcBorders>
              <w:bottom w:val="single" w:sz="4" w:space="0" w:color="C9D1CE"/>
            </w:tcBorders>
          </w:tcPr>
          <w:p>
            <w:pPr>
              <w:spacing w:before="40" w:after="40"/>
            </w:pPr>
            <w:r>
              <w:rPr>
                <w:rFonts w:ascii="JetBrains Mono" w:hAnsi="JetBrains Mono" w:cs="JetBrains Mono"/>
                <w:sz w:val="19"/>
              </w:rPr>
              <w:t xml:space="preserve">Adjacent: Cybersecurity &amp; Software</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52</w:t>
            </w:r>
          </w:p>
        </w:tc>
      </w:tr>
      <w:tr>
        <w:tc>
          <w:tcPr>
            <w:tcW w:w="7200" w:type="dxa"/>
            <w:tcBorders>
              <w:bottom w:val="single" w:sz="4" w:space="0" w:color="C9D1CE"/>
            </w:tcBorders>
          </w:tcPr>
          <w:p>
            <w:pPr>
              <w:spacing w:before="40" w:after="40"/>
            </w:pPr>
            <w:r>
              <w:rPr>
                <w:rFonts w:ascii="JetBrains Mono" w:hAnsi="JetBrains Mono" w:cs="JetBrains Mono"/>
                <w:sz w:val="19"/>
              </w:rPr>
              <w:t xml:space="preserve">Manufactured &amp; Consumer Products</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40</w:t>
            </w:r>
          </w:p>
        </w:tc>
      </w:tr>
      <w:tr>
        <w:tc>
          <w:tcPr>
            <w:tcW w:w="7200" w:type="dxa"/>
            <w:tcBorders>
              <w:bottom w:val="single" w:sz="4" w:space="0" w:color="C9D1CE"/>
            </w:tcBorders>
          </w:tcPr>
          <w:p>
            <w:pPr>
              <w:spacing w:before="40" w:after="40"/>
            </w:pPr>
            <w:r>
              <w:rPr>
                <w:rFonts w:ascii="JetBrains Mono" w:hAnsi="JetBrains Mono" w:cs="JetBrains Mono"/>
                <w:sz w:val="19"/>
              </w:rPr>
              <w:t xml:space="preserve">Excise &amp; Environmental</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39</w:t>
            </w:r>
          </w:p>
        </w:tc>
      </w:tr>
      <w:tr>
        <w:tc>
          <w:tcPr>
            <w:tcW w:w="7200" w:type="dxa"/>
            <w:tcBorders>
              <w:bottom w:val="single" w:sz="4" w:space="0" w:color="C9D1CE"/>
            </w:tcBorders>
          </w:tcPr>
          <w:p>
            <w:pPr>
              <w:spacing w:before="40" w:after="40"/>
            </w:pPr>
            <w:r>
              <w:rPr>
                <w:rFonts w:ascii="JetBrains Mono" w:hAnsi="JetBrains Mono" w:cs="JetBrains Mono"/>
                <w:sz w:val="19"/>
              </w:rPr>
              <w:t xml:space="preserve">Adjacent: Financial &amp; Institutional</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37</w:t>
            </w:r>
          </w:p>
        </w:tc>
      </w:tr>
      <w:tr>
        <w:tc>
          <w:tcPr>
            <w:tcW w:w="7200" w:type="dxa"/>
            <w:tcBorders>
              <w:bottom w:val="single" w:sz="4" w:space="0" w:color="C9D1CE"/>
            </w:tcBorders>
          </w:tcPr>
          <w:p>
            <w:pPr>
              <w:spacing w:before="40" w:after="40"/>
            </w:pPr>
            <w:r>
              <w:rPr>
                <w:rFonts w:ascii="JetBrains Mono" w:hAnsi="JetBrains Mono" w:cs="JetBrains Mono"/>
                <w:sz w:val="19"/>
              </w:rPr>
              <w:t xml:space="preserve">Responsible Sourcing</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36</w:t>
            </w:r>
          </w:p>
        </w:tc>
      </w:tr>
      <w:tr>
        <w:tc>
          <w:tcPr>
            <w:tcW w:w="7200" w:type="dxa"/>
            <w:tcBorders>
              <w:bottom w:val="single" w:sz="4" w:space="0" w:color="C9D1CE"/>
            </w:tcBorders>
          </w:tcPr>
          <w:p>
            <w:pPr>
              <w:spacing w:before="40" w:after="40"/>
            </w:pPr>
            <w:r>
              <w:rPr>
                <w:rFonts w:ascii="JetBrains Mono" w:hAnsi="JetBrains Mono" w:cs="JetBrains Mono"/>
                <w:sz w:val="19"/>
              </w:rPr>
              <w:t xml:space="preserve">Adjacent: Legal &amp; Notarial</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33</w:t>
            </w:r>
          </w:p>
        </w:tc>
      </w:tr>
      <w:tr>
        <w:tc>
          <w:tcPr>
            <w:tcW w:w="7200" w:type="dxa"/>
            <w:tcBorders>
              <w:bottom w:val="single" w:sz="4" w:space="0" w:color="C9D1CE"/>
            </w:tcBorders>
          </w:tcPr>
          <w:p>
            <w:pPr>
              <w:spacing w:before="40" w:after="40"/>
            </w:pPr>
            <w:r>
              <w:rPr>
                <w:rFonts w:ascii="JetBrains Mono" w:hAnsi="JetBrains Mono" w:cs="JetBrains Mono"/>
                <w:sz w:val="19"/>
              </w:rPr>
              <w:t xml:space="preserve">Adjacent: Payments</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31</w:t>
            </w:r>
          </w:p>
        </w:tc>
      </w:tr>
      <w:tr>
        <w:tc>
          <w:tcPr>
            <w:tcW w:w="7200" w:type="dxa"/>
            <w:tcBorders>
              <w:bottom w:val="single" w:sz="4" w:space="0" w:color="C9D1CE"/>
            </w:tcBorders>
          </w:tcPr>
          <w:p>
            <w:pPr>
              <w:spacing w:before="40" w:after="40"/>
            </w:pPr>
            <w:r>
              <w:rPr>
                <w:rFonts w:ascii="JetBrains Mono" w:hAnsi="JetBrains Mono" w:cs="JetBrains Mono"/>
                <w:sz w:val="19"/>
              </w:rPr>
              <w:t xml:space="preserve">Adjacent: Research &amp; Data</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28</w:t>
            </w:r>
          </w:p>
        </w:tc>
      </w:tr>
      <w:tr>
        <w:tc>
          <w:tcPr>
            <w:tcW w:w="7200" w:type="dxa"/>
            <w:tcBorders>
              <w:bottom w:val="single" w:sz="4" w:space="0" w:color="C9D1CE"/>
            </w:tcBorders>
          </w:tcPr>
          <w:p>
            <w:pPr>
              <w:spacing w:before="40" w:after="40"/>
            </w:pPr>
            <w:r>
              <w:rPr>
                <w:rFonts w:ascii="JetBrains Mono" w:hAnsi="JetBrains Mono" w:cs="JetBrains Mono"/>
                <w:sz w:val="19"/>
              </w:rPr>
              <w:t xml:space="preserve">Pharma &amp; Medical</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22</w:t>
            </w:r>
          </w:p>
        </w:tc>
      </w:tr>
      <w:tr>
        <w:tc>
          <w:tcPr>
            <w:tcW w:w="7200" w:type="dxa"/>
            <w:tcBorders>
              <w:bottom w:val="single" w:sz="4" w:space="0" w:color="C9D1CE"/>
            </w:tcBorders>
          </w:tcPr>
          <w:p>
            <w:pPr>
              <w:spacing w:before="40" w:after="40"/>
            </w:pPr>
            <w:r>
              <w:rPr>
                <w:rFonts w:ascii="JetBrains Mono" w:hAnsi="JetBrains Mono" w:cs="JetBrains Mono"/>
                <w:sz w:val="19"/>
              </w:rPr>
              <w:t xml:space="preserve">Risk Transfer &amp; Guarantee</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20</w:t>
            </w:r>
          </w:p>
        </w:tc>
      </w:tr>
      <w:tr>
        <w:tc>
          <w:tcPr>
            <w:tcW w:w="7200" w:type="dxa"/>
            <w:tcBorders>
              <w:bottom w:val="single" w:sz="4" w:space="0" w:color="C9D1CE"/>
            </w:tcBorders>
          </w:tcPr>
          <w:p>
            <w:pPr>
              <w:spacing w:before="40" w:after="40"/>
            </w:pPr>
            <w:r>
              <w:rPr>
                <w:rFonts w:ascii="JetBrains Mono" w:hAnsi="JetBrains Mono" w:cs="JetBrains Mono"/>
                <w:sz w:val="19"/>
              </w:rPr>
              <w:t xml:space="preserve">Adjacent: AI Trust</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18</w:t>
            </w:r>
          </w:p>
        </w:tc>
      </w:tr>
      <w:tr>
        <w:tc>
          <w:tcPr>
            <w:tcW w:w="7200" w:type="dxa"/>
            <w:tcBorders>
              <w:bottom w:val="single" w:sz="4" w:space="0" w:color="C9D1CE"/>
            </w:tcBorders>
          </w:tcPr>
          <w:p>
            <w:pPr>
              <w:spacing w:before="40" w:after="40"/>
            </w:pPr>
            <w:r>
              <w:rPr>
                <w:rFonts w:ascii="JetBrains Mono" w:hAnsi="JetBrains Mono" w:cs="JetBrains Mono"/>
                <w:sz w:val="19"/>
              </w:rPr>
              <w:t xml:space="preserve">Metrology &amp; Measurement</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17</w:t>
            </w:r>
          </w:p>
        </w:tc>
      </w:tr>
      <w:tr>
        <w:tc>
          <w:tcPr>
            <w:tcW w:w="7200" w:type="dxa"/>
            <w:tcBorders>
              <w:bottom w:val="single" w:sz="4" w:space="0" w:color="C9D1CE"/>
            </w:tcBorders>
          </w:tcPr>
          <w:p>
            <w:pPr>
              <w:spacing w:before="40" w:after="40"/>
            </w:pPr>
            <w:r>
              <w:rPr>
                <w:rFonts w:ascii="JetBrains Mono" w:hAnsi="JetBrains Mono" w:cs="JetBrains Mono"/>
                <w:sz w:val="19"/>
              </w:rPr>
              <w:t xml:space="preserve">Trade &amp; Customs</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14</w:t>
            </w:r>
          </w:p>
        </w:tc>
      </w:tr>
      <w:tr>
        <w:tc>
          <w:tcPr>
            <w:tcW w:w="7200" w:type="dxa"/>
            <w:tcBorders>
              <w:bottom w:val="single" w:sz="4" w:space="0" w:color="C9D1CE"/>
            </w:tcBorders>
          </w:tcPr>
          <w:p>
            <w:pPr>
              <w:spacing w:before="40" w:after="40"/>
            </w:pPr>
            <w:r>
              <w:rPr>
                <w:rFonts w:ascii="JetBrains Mono" w:hAnsi="JetBrains Mono" w:cs="JetBrains Mono"/>
                <w:sz w:val="19"/>
              </w:rPr>
              <w:t xml:space="preserve">Adjacent: Content &amp; Information</w:t>
            </w:r>
          </w:p>
        </w:tc>
        <w:tc>
          <w:tcPr>
            <w:tcW w:w="1728" w:type="dxa"/>
            <w:tcBorders>
              <w:bottom w:val="single" w:sz="4" w:space="0" w:color="C9D1CE"/>
            </w:tcBorders>
          </w:tcPr>
          <w:p>
            <w:pPr>
              <w:spacing w:before="40" w:after="40"/>
              <w:jc w:val="right"/>
            </w:pPr>
            <w:r>
              <w:rPr>
                <w:rFonts w:ascii="JetBrains Mono" w:hAnsi="JetBrains Mono" w:cs="JetBrains Mono"/>
                <w:sz w:val="19"/>
              </w:rPr>
              <w:t xml:space="preserve">3</w:t>
            </w:r>
          </w:p>
        </w:tc>
      </w:tr>
    </w:tbl>
    <w:p>
      <w:pPr>
        <w:spacing w:after="120"/>
      </w:pPr>
    </w:p>
    <w:p>
      <w:pPr>
        <w:keepNext/>
        <w:keepLines/>
        <w:spacing w:before="240" w:after="60"/>
      </w:pPr>
      <w:r>
        <w:rPr>
          <w:rFonts w:ascii="JetBrains Mono" w:hAnsi="JetBrains Mono" w:cs="JetBrains Mono"/>
          <w:b/>
          <w:sz w:val="25"/>
        </w:rPr>
        <w:t xml:space="preserve">object_attributes</w:t>
      </w:r>
    </w:p>
    <w:p>
      <w:pPr>
        <w:keepNext/>
        <w:keepLines/>
        <w:spacing w:before="0" w:after="60"/>
      </w:pPr>
      <w:r>
        <w:rPr>
          <w:rFonts w:ascii="JetBrains Mono" w:hAnsi="JetBrains Mono" w:cs="JetBrains Mono"/>
          <w:color w:val="6B8F8A"/>
          <w:sz w:val="17"/>
        </w:rPr>
        <w:t xml:space="preserve">String · coverage: 100%</w:t>
      </w:r>
    </w:p>
    <w:p>
      <w:pPr/>
      <w:r>
        <w:rPr>
          <w:rFonts w:cs="Inter"/>
        </w:rPr>
        <w:t xml:space="preserve">The attributes of the object, service, or person that the instrument makes verifiable. Free text, frequently multi valued.</w:t>
      </w:r>
    </w:p>
    <w:p>
      <w:pPr>
        <w:keepNext/>
        <w:keepLines/>
        <w:spacing w:before="240" w:after="60"/>
      </w:pPr>
      <w:r>
        <w:rPr>
          <w:rFonts w:ascii="JetBrains Mono" w:hAnsi="JetBrains Mono" w:cs="JetBrains Mono"/>
          <w:b/>
          <w:sz w:val="25"/>
        </w:rPr>
        <w:t xml:space="preserve">public_harm_addressed</w:t>
      </w:r>
    </w:p>
    <w:p>
      <w:pPr>
        <w:keepNext/>
        <w:keepLines/>
        <w:spacing w:before="0" w:after="60"/>
      </w:pPr>
      <w:r>
        <w:rPr>
          <w:rFonts w:ascii="JetBrains Mono" w:hAnsi="JetBrains Mono" w:cs="JetBrains Mono"/>
          <w:color w:val="6B8F8A"/>
          <w:sz w:val="17"/>
        </w:rPr>
        <w:t xml:space="preserve">String · coverage: 100%</w:t>
      </w:r>
    </w:p>
    <w:p>
      <w:pPr/>
      <w:r>
        <w:rPr>
          <w:rFonts w:cs="Inter"/>
        </w:rPr>
        <w:t xml:space="preserve">A short description of the harm the instrument addresses, in the coder's words. Free text. The controlled version of this field is harm_family.</w:t>
      </w:r>
    </w:p>
    <w:p>
      <w:pPr>
        <w:keepNext/>
        <w:keepLines/>
        <w:spacing w:before="240" w:after="60"/>
      </w:pPr>
      <w:r>
        <w:rPr>
          <w:rFonts w:ascii="JetBrains Mono" w:hAnsi="JetBrains Mono" w:cs="JetBrains Mono"/>
          <w:b/>
          <w:sz w:val="25"/>
        </w:rPr>
        <w:t xml:space="preserve">wito_relevance</w:t>
      </w:r>
    </w:p>
    <w:p>
      <w:pPr>
        <w:keepNext/>
        <w:keepLines/>
        <w:spacing w:before="0" w:after="60"/>
      </w:pPr>
      <w:r>
        <w:rPr>
          <w:rFonts w:ascii="JetBrains Mono" w:hAnsi="JetBrains Mono" w:cs="JetBrains Mono"/>
          <w:color w:val="6B8F8A"/>
          <w:sz w:val="17"/>
        </w:rPr>
        <w:t xml:space="preserve">String · coverage: 100%</w:t>
      </w:r>
    </w:p>
    <w:p>
      <w:pPr/>
      <w:r>
        <w:rPr>
          <w:rFonts w:cs="Inter"/>
        </w:rPr>
        <w:t xml:space="preserve">How the instrument relates to WITO's own scope of work. An analytic annotation, not a property of the instrument.</w:t>
      </w:r>
    </w:p>
    <w:tbl>
      <w:tblPr>
        <w:tblW w:w="0" w:type="auto"/>
        <w:tblLayout w:type="fixed"/>
        <w:tblLook w:val="04A0" w:firstRow="1" w:lastRow="0" w:firstColumn="1" w:lastColumn="0" w:noHBand="0" w:noVBand="1"/>
      </w:tblPr>
      <w:tblGrid>
        <w:gridCol w:w="3200"/>
        <w:gridCol w:w="900"/>
        <w:gridCol w:w="4828"/>
      </w:tblGrid>
      <w:tr>
        <w:trPr>
          <w:tblHeader/>
        </w:trPr>
        <w:tc>
          <w:tcPr>
            <w:tcW w:w="3200" w:type="dxa"/>
            <w:shd w:val="clear" w:color="auto" w:fill="004040"/>
          </w:tcPr>
          <w:p>
            <w:pPr>
              <w:spacing w:before="40" w:after="40"/>
            </w:pPr>
            <w:r>
              <w:rPr>
                <w:rFonts w:cs="Inter"/>
                <w:b/>
                <w:color w:val="FFFFFF"/>
                <w:sz w:val="18"/>
              </w:rPr>
              <w:t xml:space="preserve">Value</w:t>
            </w:r>
          </w:p>
        </w:tc>
        <w:tc>
          <w:tcPr>
            <w:tcW w:w="900" w:type="dxa"/>
            <w:shd w:val="clear" w:color="auto" w:fill="004040"/>
          </w:tcPr>
          <w:p>
            <w:pPr>
              <w:spacing w:before="40" w:after="40"/>
              <w:jc w:val="right"/>
            </w:pPr>
            <w:r>
              <w:rPr>
                <w:rFonts w:cs="Inter"/>
                <w:b/>
                <w:color w:val="FFFFFF"/>
                <w:sz w:val="18"/>
              </w:rPr>
              <w:t xml:space="preserve">Count</w:t>
            </w:r>
          </w:p>
        </w:tc>
        <w:tc>
          <w:tcPr>
            <w:tcW w:w="4828" w:type="dxa"/>
            <w:shd w:val="clear" w:color="auto" w:fill="004040"/>
          </w:tcPr>
          <w:p>
            <w:pPr>
              <w:spacing w:before="40" w:after="40"/>
            </w:pPr>
            <w:r>
              <w:rPr>
                <w:rFonts w:cs="Inter"/>
                <w:b/>
                <w:color w:val="FFFFFF"/>
                <w:sz w:val="18"/>
              </w:rPr>
              <w:t xml:space="preserve">Definition</w:t>
            </w:r>
          </w:p>
        </w:tc>
      </w:tr>
      <w:tr>
        <w:tc>
          <w:tcPr>
            <w:tcW w:w="3200" w:type="dxa"/>
            <w:tcBorders>
              <w:bottom w:val="single" w:sz="4" w:space="0" w:color="C9D1CE"/>
            </w:tcBorders>
          </w:tcPr>
          <w:p>
            <w:pPr>
              <w:spacing w:before="40" w:after="40"/>
            </w:pPr>
            <w:r>
              <w:rPr>
                <w:rFonts w:ascii="JetBrains Mono" w:hAnsi="JetBrains Mono" w:cs="JetBrains Mono"/>
                <w:sz w:val="19"/>
              </w:rPr>
              <w:t xml:space="preserve">adjacent context</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300</w:t>
            </w:r>
          </w:p>
        </w:tc>
        <w:tc>
          <w:tcPr>
            <w:tcW w:w="4828" w:type="dxa"/>
            <w:tcBorders>
              <w:bottom w:val="single" w:sz="4" w:space="0" w:color="C9D1CE"/>
            </w:tcBorders>
          </w:tcPr>
          <w:p>
            <w:pPr>
              <w:spacing w:before="40" w:after="40"/>
            </w:pPr>
            <w:r>
              <w:rPr>
                <w:rFonts w:cs="Inter"/>
                <w:sz w:val="19"/>
              </w:rPr>
              <w:t xml:space="preserve">Outside WITO's immediate scope but part of the landscape it operates in.</w:t>
            </w:r>
          </w:p>
        </w:tc>
      </w:tr>
      <w:tr>
        <w:tc>
          <w:tcPr>
            <w:tcW w:w="3200" w:type="dxa"/>
            <w:tcBorders>
              <w:bottom w:val="single" w:sz="4" w:space="0" w:color="C9D1CE"/>
            </w:tcBorders>
          </w:tcPr>
          <w:p>
            <w:pPr>
              <w:spacing w:before="40" w:after="40"/>
            </w:pPr>
            <w:r>
              <w:rPr>
                <w:rFonts w:ascii="JetBrains Mono" w:hAnsi="JetBrains Mono" w:cs="JetBrains Mono"/>
                <w:sz w:val="19"/>
              </w:rPr>
              <w:t xml:space="preserve">sectoral scheme/standard</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106</w:t>
            </w:r>
          </w:p>
        </w:tc>
        <w:tc>
          <w:tcPr>
            <w:tcW w:w="4828" w:type="dxa"/>
            <w:tcBorders>
              <w:bottom w:val="single" w:sz="4" w:space="0" w:color="C9D1CE"/>
            </w:tcBorders>
          </w:tcPr>
          <w:p>
            <w:pPr>
              <w:spacing w:before="40" w:after="40"/>
            </w:pPr>
            <w:r>
              <w:rPr>
                <w:rFonts w:cs="Inter"/>
                <w:sz w:val="19"/>
              </w:rPr>
              <w:t xml:space="preserve">A scheme or standard bounded to one sector.</w:t>
            </w:r>
          </w:p>
        </w:tc>
      </w:tr>
      <w:tr>
        <w:tc>
          <w:tcPr>
            <w:tcW w:w="3200" w:type="dxa"/>
            <w:tcBorders>
              <w:bottom w:val="single" w:sz="4" w:space="0" w:color="C9D1CE"/>
            </w:tcBorders>
          </w:tcPr>
          <w:p>
            <w:pPr>
              <w:spacing w:before="40" w:after="40"/>
            </w:pPr>
            <w:r>
              <w:rPr>
                <w:rFonts w:ascii="JetBrains Mono" w:hAnsi="JetBrains Mono" w:cs="JetBrains Mono"/>
                <w:sz w:val="19"/>
              </w:rPr>
              <w:t xml:space="preserve">mandate-owner to recognize</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96</w:t>
            </w:r>
          </w:p>
        </w:tc>
        <w:tc>
          <w:tcPr>
            <w:tcW w:w="4828" w:type="dxa"/>
            <w:tcBorders>
              <w:bottom w:val="single" w:sz="4" w:space="0" w:color="C9D1CE"/>
            </w:tcBorders>
          </w:tcPr>
          <w:p>
            <w:pPr>
              <w:spacing w:before="40" w:after="40"/>
            </w:pPr>
            <w:r>
              <w:rPr>
                <w:rFonts w:cs="Inter"/>
                <w:sz w:val="19"/>
              </w:rPr>
              <w:t xml:space="preserve">Held by a body whose recognition decisions WITO would need to engage.</w:t>
            </w:r>
          </w:p>
        </w:tc>
      </w:tr>
      <w:tr>
        <w:tc>
          <w:tcPr>
            <w:tcW w:w="3200" w:type="dxa"/>
            <w:tcBorders>
              <w:bottom w:val="single" w:sz="4" w:space="0" w:color="C9D1CE"/>
            </w:tcBorders>
          </w:tcPr>
          <w:p>
            <w:pPr>
              <w:spacing w:before="40" w:after="40"/>
            </w:pPr>
            <w:r>
              <w:rPr>
                <w:rFonts w:ascii="JetBrains Mono" w:hAnsi="JetBrains Mono" w:cs="JetBrains Mono"/>
                <w:sz w:val="19"/>
              </w:rPr>
              <w:t xml:space="preserve">component standard</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62</w:t>
            </w:r>
          </w:p>
        </w:tc>
        <w:tc>
          <w:tcPr>
            <w:tcW w:w="4828" w:type="dxa"/>
            <w:tcBorders>
              <w:bottom w:val="single" w:sz="4" w:space="0" w:color="C9D1CE"/>
            </w:tcBorders>
          </w:tcPr>
          <w:p>
            <w:pPr>
              <w:spacing w:before="40" w:after="40"/>
            </w:pPr>
            <w:r>
              <w:rPr>
                <w:rFonts w:cs="Inter"/>
                <w:sz w:val="19"/>
              </w:rPr>
              <w:t xml:space="preserve">A building block that other instruments incorporate.</w:t>
            </w:r>
          </w:p>
        </w:tc>
      </w:tr>
      <w:tr>
        <w:tc>
          <w:tcPr>
            <w:tcW w:w="3200" w:type="dxa"/>
            <w:tcBorders>
              <w:bottom w:val="single" w:sz="4" w:space="0" w:color="C9D1CE"/>
            </w:tcBorders>
          </w:tcPr>
          <w:p>
            <w:pPr>
              <w:spacing w:before="40" w:after="40"/>
            </w:pPr>
            <w:r>
              <w:rPr>
                <w:rFonts w:ascii="JetBrains Mono" w:hAnsi="JetBrains Mono" w:cs="JetBrains Mono"/>
                <w:sz w:val="19"/>
              </w:rPr>
              <w:t xml:space="preserve">peer framework</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55</w:t>
            </w:r>
          </w:p>
        </w:tc>
        <w:tc>
          <w:tcPr>
            <w:tcW w:w="4828" w:type="dxa"/>
            <w:tcBorders>
              <w:bottom w:val="single" w:sz="4" w:space="0" w:color="C9D1CE"/>
            </w:tcBorders>
          </w:tcPr>
          <w:p>
            <w:pPr>
              <w:spacing w:before="40" w:after="40"/>
            </w:pPr>
            <w:r>
              <w:rPr>
                <w:rFonts w:cs="Inter"/>
                <w:sz w:val="19"/>
              </w:rPr>
              <w:t xml:space="preserve">A framework performing a coordinating role comparable to WITO's.</w:t>
            </w:r>
          </w:p>
        </w:tc>
      </w:tr>
    </w:tbl>
    <w:p>
      <w:pPr>
        <w:spacing w:after="120"/>
      </w:pPr>
    </w:p>
    <w:p>
      <w:pPr>
        <w:keepNext/>
        <w:keepLines/>
        <w:spacing w:before="240" w:after="60"/>
      </w:pPr>
      <w:r>
        <w:rPr>
          <w:rFonts w:ascii="JetBrains Mono" w:hAnsi="JetBrains Mono" w:cs="JetBrains Mono"/>
          <w:b/>
          <w:sz w:val="25"/>
        </w:rPr>
        <w:t xml:space="preserve">references_builds_on</w:t>
      </w:r>
    </w:p>
    <w:p>
      <w:pPr>
        <w:keepNext/>
        <w:keepLines/>
        <w:spacing w:before="0" w:after="60"/>
      </w:pPr>
      <w:r>
        <w:rPr>
          <w:rFonts w:ascii="JetBrains Mono" w:hAnsi="JetBrains Mono" w:cs="JetBrains Mono"/>
          <w:color w:val="6B8F8A"/>
          <w:sz w:val="17"/>
        </w:rPr>
        <w:t xml:space="preserve">String · coverage: 100%</w:t>
      </w:r>
    </w:p>
    <w:p>
      <w:pPr/>
      <w:r>
        <w:rPr>
          <w:rFonts w:cs="Inter"/>
        </w:rPr>
        <w:t xml:space="preserve">Other instruments this one cites, incorporates, or depends on, as stated in its own text or by its owner. Free text.</w:t>
      </w:r>
    </w:p>
    <w:p>
      <w:pPr>
        <w:keepNext/>
        <w:keepLines/>
        <w:spacing w:before="240" w:after="60"/>
      </w:pPr>
      <w:r>
        <w:rPr>
          <w:rFonts w:ascii="JetBrains Mono" w:hAnsi="JetBrains Mono" w:cs="JetBrains Mono"/>
          <w:b/>
          <w:sz w:val="25"/>
        </w:rPr>
        <w:t xml:space="preserve">adoption_penetration</w:t>
      </w:r>
    </w:p>
    <w:p>
      <w:pPr>
        <w:keepNext/>
        <w:keepLines/>
        <w:spacing w:before="0" w:after="60"/>
      </w:pPr>
      <w:r>
        <w:rPr>
          <w:rFonts w:ascii="JetBrains Mono" w:hAnsi="JetBrains Mono" w:cs="JetBrains Mono"/>
          <w:color w:val="6B8F8A"/>
          <w:sz w:val="17"/>
        </w:rPr>
        <w:t xml:space="preserve">String · coverage: 100%</w:t>
      </w:r>
    </w:p>
    <w:p>
      <w:pPr/>
      <w:r>
        <w:rPr>
          <w:rFonts w:cs="Inter"/>
        </w:rPr>
        <w:t xml:space="preserve">A published figure for how widely the instrument is used, with the figure's source, or an explicit marker that a search was run and no published figure was found. Free text.</w:t>
      </w:r>
    </w:p>
    <w:p>
      <w:pPr>
        <w:keepNext/>
        <w:keepLines/>
        <w:spacing w:before="240" w:after="60"/>
      </w:pPr>
      <w:r>
        <w:rPr>
          <w:rFonts w:ascii="JetBrains Mono" w:hAnsi="JetBrains Mono" w:cs="JetBrains Mono"/>
          <w:b/>
          <w:sz w:val="25"/>
        </w:rPr>
        <w:t xml:space="preserve">adoption_figure_found</w:t>
      </w:r>
    </w:p>
    <w:p>
      <w:pPr>
        <w:keepNext/>
        <w:keepLines/>
        <w:spacing w:before="0" w:after="60"/>
      </w:pPr>
      <w:r>
        <w:rPr>
          <w:rFonts w:ascii="JetBrains Mono" w:hAnsi="JetBrains Mono" w:cs="JetBrains Mono"/>
          <w:color w:val="6B8F8A"/>
          <w:sz w:val="17"/>
        </w:rPr>
        <w:t xml:space="preserve">Boolean, 1 or 0 · coverage: 100%</w:t>
      </w:r>
    </w:p>
    <w:p>
      <w:pPr/>
      <w:r>
        <w:rPr>
          <w:rFonts w:cs="Inter"/>
        </w:rPr>
        <w:t xml:space="preserve">Derived from adoption_penetration. 1 where that field holds a figure, 0 where it holds a checked and not found marker. The markers are phrased in several ways, so the flag is assigned by rule: a cell whose text opens with no, not, none, n/a, or unknown is a marker, and anything else is a value.</w:t>
      </w:r>
    </w:p>
    <w:tbl>
      <w:tblPr>
        <w:tblW w:w="0" w:type="auto"/>
        <w:tblLayout w:type="fixed"/>
        <w:tblLook w:val="04A0" w:firstRow="1" w:lastRow="0" w:firstColumn="1" w:lastColumn="0" w:noHBand="0" w:noVBand="1"/>
      </w:tblPr>
      <w:tblGrid>
        <w:gridCol w:w="3200"/>
        <w:gridCol w:w="900"/>
        <w:gridCol w:w="4828"/>
      </w:tblGrid>
      <w:tr>
        <w:trPr>
          <w:tblHeader/>
        </w:trPr>
        <w:tc>
          <w:tcPr>
            <w:tcW w:w="3200" w:type="dxa"/>
            <w:shd w:val="clear" w:color="auto" w:fill="004040"/>
          </w:tcPr>
          <w:p>
            <w:pPr>
              <w:spacing w:before="40" w:after="40"/>
            </w:pPr>
            <w:r>
              <w:rPr>
                <w:rFonts w:cs="Inter"/>
                <w:b/>
                <w:color w:val="FFFFFF"/>
                <w:sz w:val="18"/>
              </w:rPr>
              <w:t xml:space="preserve">Value</w:t>
            </w:r>
          </w:p>
        </w:tc>
        <w:tc>
          <w:tcPr>
            <w:tcW w:w="900" w:type="dxa"/>
            <w:shd w:val="clear" w:color="auto" w:fill="004040"/>
          </w:tcPr>
          <w:p>
            <w:pPr>
              <w:spacing w:before="40" w:after="40"/>
              <w:jc w:val="right"/>
            </w:pPr>
            <w:r>
              <w:rPr>
                <w:rFonts w:cs="Inter"/>
                <w:b/>
                <w:color w:val="FFFFFF"/>
                <w:sz w:val="18"/>
              </w:rPr>
              <w:t xml:space="preserve">Count</w:t>
            </w:r>
          </w:p>
        </w:tc>
        <w:tc>
          <w:tcPr>
            <w:tcW w:w="4828" w:type="dxa"/>
            <w:shd w:val="clear" w:color="auto" w:fill="004040"/>
          </w:tcPr>
          <w:p>
            <w:pPr>
              <w:spacing w:before="40" w:after="40"/>
            </w:pPr>
            <w:r>
              <w:rPr>
                <w:rFonts w:cs="Inter"/>
                <w:b/>
                <w:color w:val="FFFFFF"/>
                <w:sz w:val="18"/>
              </w:rPr>
              <w:t xml:space="preserve">Definition</w:t>
            </w:r>
          </w:p>
        </w:tc>
      </w:tr>
      <w:tr>
        <w:tc>
          <w:tcPr>
            <w:tcW w:w="3200" w:type="dxa"/>
            <w:tcBorders>
              <w:bottom w:val="single" w:sz="4" w:space="0" w:color="C9D1CE"/>
            </w:tcBorders>
          </w:tcPr>
          <w:p>
            <w:pPr>
              <w:spacing w:before="40" w:after="40"/>
            </w:pPr>
            <w:r>
              <w:rPr>
                <w:rFonts w:ascii="JetBrains Mono" w:hAnsi="JetBrains Mono" w:cs="JetBrains Mono"/>
                <w:sz w:val="19"/>
              </w:rPr>
              <w:t xml:space="preserve">1</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503</w:t>
            </w:r>
          </w:p>
        </w:tc>
        <w:tc>
          <w:tcPr>
            <w:tcW w:w="4828" w:type="dxa"/>
            <w:tcBorders>
              <w:bottom w:val="single" w:sz="4" w:space="0" w:color="C9D1CE"/>
            </w:tcBorders>
          </w:tcPr>
          <w:p>
            <w:pPr>
              <w:spacing w:before="40" w:after="40"/>
            </w:pPr>
            <w:r>
              <w:rPr>
                <w:rFonts w:cs="Inter"/>
                <w:sz w:val="19"/>
              </w:rPr>
              <w:t xml:space="preserve">A value is recorded.</w:t>
            </w:r>
          </w:p>
        </w:tc>
      </w:tr>
      <w:tr>
        <w:tc>
          <w:tcPr>
            <w:tcW w:w="3200" w:type="dxa"/>
            <w:tcBorders>
              <w:bottom w:val="single" w:sz="4" w:space="0" w:color="C9D1CE"/>
            </w:tcBorders>
          </w:tcPr>
          <w:p>
            <w:pPr>
              <w:spacing w:before="40" w:after="40"/>
            </w:pPr>
            <w:r>
              <w:rPr>
                <w:rFonts w:ascii="JetBrains Mono" w:hAnsi="JetBrains Mono" w:cs="JetBrains Mono"/>
                <w:sz w:val="19"/>
              </w:rPr>
              <w:t xml:space="preserve">0</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116</w:t>
            </w:r>
          </w:p>
        </w:tc>
        <w:tc>
          <w:tcPr>
            <w:tcW w:w="4828" w:type="dxa"/>
            <w:tcBorders>
              <w:bottom w:val="single" w:sz="4" w:space="0" w:color="C9D1CE"/>
            </w:tcBorders>
          </w:tcPr>
          <w:p>
            <w:pPr>
              <w:spacing w:before="40" w:after="40"/>
            </w:pPr>
            <w:r>
              <w:rPr>
                <w:rFonts w:cs="Inter"/>
                <w:sz w:val="19"/>
              </w:rPr>
              <w:t xml:space="preserve">A search was run and nothing was found.</w:t>
            </w:r>
          </w:p>
        </w:tc>
      </w:tr>
    </w:tbl>
    <w:p>
      <w:pPr>
        <w:spacing w:after="120"/>
      </w:pPr>
    </w:p>
    <w:p>
      <w:pPr>
        <w:keepNext/>
        <w:keepLines/>
        <w:spacing w:before="240" w:after="60"/>
      </w:pPr>
      <w:r>
        <w:rPr>
          <w:rFonts w:ascii="JetBrains Mono" w:hAnsi="JetBrains Mono" w:cs="JetBrains Mono"/>
          <w:b/>
          <w:sz w:val="25"/>
        </w:rPr>
        <w:t xml:space="preserve">effectiveness_verified</w:t>
      </w:r>
    </w:p>
    <w:p>
      <w:pPr>
        <w:keepNext/>
        <w:keepLines/>
        <w:spacing w:before="0" w:after="60"/>
      </w:pPr>
      <w:r>
        <w:rPr>
          <w:rFonts w:ascii="JetBrains Mono" w:hAnsi="JetBrains Mono" w:cs="JetBrains Mono"/>
          <w:color w:val="6B8F8A"/>
          <w:sz w:val="17"/>
        </w:rPr>
        <w:t xml:space="preserve">String · coverage: 100%</w:t>
      </w:r>
    </w:p>
    <w:p>
      <w:pPr/>
      <w:r>
        <w:rPr>
          <w:rFonts w:cs="Inter"/>
        </w:rPr>
        <w:t xml:space="preserve">A published evaluation of whether the instrument achieves its aim, with its source, or an explicit marker that a search was run and no published evaluation was found. Where an evaluation exists, the entry opens with the coder's reading of its verdict. Free text.</w:t>
      </w:r>
    </w:p>
    <w:p>
      <w:pPr>
        <w:keepNext/>
        <w:keepLines/>
        <w:spacing w:before="240" w:after="60"/>
      </w:pPr>
      <w:r>
        <w:rPr>
          <w:rFonts w:ascii="JetBrains Mono" w:hAnsi="JetBrains Mono" w:cs="JetBrains Mono"/>
          <w:b/>
          <w:sz w:val="25"/>
        </w:rPr>
        <w:t xml:space="preserve">effectiveness_evidence_found</w:t>
      </w:r>
    </w:p>
    <w:p>
      <w:pPr>
        <w:keepNext/>
        <w:keepLines/>
        <w:spacing w:before="0" w:after="60"/>
      </w:pPr>
      <w:r>
        <w:rPr>
          <w:rFonts w:ascii="JetBrains Mono" w:hAnsi="JetBrains Mono" w:cs="JetBrains Mono"/>
          <w:color w:val="6B8F8A"/>
          <w:sz w:val="17"/>
        </w:rPr>
        <w:t xml:space="preserve">Boolean, 1 or 0 · coverage: 100%</w:t>
      </w:r>
    </w:p>
    <w:p>
      <w:pPr/>
      <w:r>
        <w:rPr>
          <w:rFonts w:cs="Inter"/>
        </w:rPr>
        <w:t xml:space="preserve">Derived from effectiveness_verified, by the same rule as adoption_figure_found.</w:t>
      </w:r>
    </w:p>
    <w:tbl>
      <w:tblPr>
        <w:tblW w:w="0" w:type="auto"/>
        <w:tblLayout w:type="fixed"/>
        <w:tblLook w:val="04A0" w:firstRow="1" w:lastRow="0" w:firstColumn="1" w:lastColumn="0" w:noHBand="0" w:noVBand="1"/>
      </w:tblPr>
      <w:tblGrid>
        <w:gridCol w:w="3200"/>
        <w:gridCol w:w="900"/>
        <w:gridCol w:w="4828"/>
      </w:tblGrid>
      <w:tr>
        <w:trPr>
          <w:tblHeader/>
        </w:trPr>
        <w:tc>
          <w:tcPr>
            <w:tcW w:w="3200" w:type="dxa"/>
            <w:shd w:val="clear" w:color="auto" w:fill="004040"/>
          </w:tcPr>
          <w:p>
            <w:pPr>
              <w:spacing w:before="40" w:after="40"/>
            </w:pPr>
            <w:r>
              <w:rPr>
                <w:rFonts w:cs="Inter"/>
                <w:b/>
                <w:color w:val="FFFFFF"/>
                <w:sz w:val="18"/>
              </w:rPr>
              <w:t xml:space="preserve">Value</w:t>
            </w:r>
          </w:p>
        </w:tc>
        <w:tc>
          <w:tcPr>
            <w:tcW w:w="900" w:type="dxa"/>
            <w:shd w:val="clear" w:color="auto" w:fill="004040"/>
          </w:tcPr>
          <w:p>
            <w:pPr>
              <w:spacing w:before="40" w:after="40"/>
              <w:jc w:val="right"/>
            </w:pPr>
            <w:r>
              <w:rPr>
                <w:rFonts w:cs="Inter"/>
                <w:b/>
                <w:color w:val="FFFFFF"/>
                <w:sz w:val="18"/>
              </w:rPr>
              <w:t xml:space="preserve">Count</w:t>
            </w:r>
          </w:p>
        </w:tc>
        <w:tc>
          <w:tcPr>
            <w:tcW w:w="4828" w:type="dxa"/>
            <w:shd w:val="clear" w:color="auto" w:fill="004040"/>
          </w:tcPr>
          <w:p>
            <w:pPr>
              <w:spacing w:before="40" w:after="40"/>
            </w:pPr>
            <w:r>
              <w:rPr>
                <w:rFonts w:cs="Inter"/>
                <w:b/>
                <w:color w:val="FFFFFF"/>
                <w:sz w:val="18"/>
              </w:rPr>
              <w:t xml:space="preserve">Definition</w:t>
            </w:r>
          </w:p>
        </w:tc>
      </w:tr>
      <w:tr>
        <w:tc>
          <w:tcPr>
            <w:tcW w:w="3200" w:type="dxa"/>
            <w:tcBorders>
              <w:bottom w:val="single" w:sz="4" w:space="0" w:color="C9D1CE"/>
            </w:tcBorders>
          </w:tcPr>
          <w:p>
            <w:pPr>
              <w:spacing w:before="40" w:after="40"/>
            </w:pPr>
            <w:r>
              <w:rPr>
                <w:rFonts w:ascii="JetBrains Mono" w:hAnsi="JetBrains Mono" w:cs="JetBrains Mono"/>
                <w:sz w:val="19"/>
              </w:rPr>
              <w:t xml:space="preserve">1</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151</w:t>
            </w:r>
          </w:p>
        </w:tc>
        <w:tc>
          <w:tcPr>
            <w:tcW w:w="4828" w:type="dxa"/>
            <w:tcBorders>
              <w:bottom w:val="single" w:sz="4" w:space="0" w:color="C9D1CE"/>
            </w:tcBorders>
          </w:tcPr>
          <w:p>
            <w:pPr>
              <w:spacing w:before="40" w:after="40"/>
            </w:pPr>
            <w:r>
              <w:rPr>
                <w:rFonts w:cs="Inter"/>
                <w:sz w:val="19"/>
              </w:rPr>
              <w:t xml:space="preserve">A value is recorded.</w:t>
            </w:r>
          </w:p>
        </w:tc>
      </w:tr>
      <w:tr>
        <w:tc>
          <w:tcPr>
            <w:tcW w:w="3200" w:type="dxa"/>
            <w:tcBorders>
              <w:bottom w:val="single" w:sz="4" w:space="0" w:color="C9D1CE"/>
            </w:tcBorders>
          </w:tcPr>
          <w:p>
            <w:pPr>
              <w:spacing w:before="40" w:after="40"/>
            </w:pPr>
            <w:r>
              <w:rPr>
                <w:rFonts w:ascii="JetBrains Mono" w:hAnsi="JetBrains Mono" w:cs="JetBrains Mono"/>
                <w:sz w:val="19"/>
              </w:rPr>
              <w:t xml:space="preserve">0</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468</w:t>
            </w:r>
          </w:p>
        </w:tc>
        <w:tc>
          <w:tcPr>
            <w:tcW w:w="4828" w:type="dxa"/>
            <w:tcBorders>
              <w:bottom w:val="single" w:sz="4" w:space="0" w:color="C9D1CE"/>
            </w:tcBorders>
          </w:tcPr>
          <w:p>
            <w:pPr>
              <w:spacing w:before="40" w:after="40"/>
            </w:pPr>
            <w:r>
              <w:rPr>
                <w:rFonts w:cs="Inter"/>
                <w:sz w:val="19"/>
              </w:rPr>
              <w:t xml:space="preserve">A search was run and nothing was found.</w:t>
            </w:r>
          </w:p>
        </w:tc>
      </w:tr>
    </w:tbl>
    <w:p>
      <w:pPr>
        <w:spacing w:after="120"/>
      </w:pPr>
    </w:p>
    <w:p>
      <w:pPr>
        <w:keepNext/>
        <w:keepLines/>
        <w:spacing w:before="240" w:after="60"/>
      </w:pPr>
      <w:r>
        <w:rPr>
          <w:rFonts w:ascii="JetBrains Mono" w:hAnsi="JetBrains Mono" w:cs="JetBrains Mono"/>
          <w:b/>
          <w:sz w:val="25"/>
        </w:rPr>
        <w:t xml:space="preserve">compliance_cost</w:t>
      </w:r>
    </w:p>
    <w:p>
      <w:pPr>
        <w:keepNext/>
        <w:keepLines/>
        <w:spacing w:before="0" w:after="60"/>
      </w:pPr>
      <w:r>
        <w:rPr>
          <w:rFonts w:ascii="JetBrains Mono" w:hAnsi="JetBrains Mono" w:cs="JetBrains Mono"/>
          <w:color w:val="6B8F8A"/>
          <w:sz w:val="17"/>
        </w:rPr>
        <w:t xml:space="preserve">String · coverage: 100%</w:t>
      </w:r>
    </w:p>
    <w:p>
      <w:pPr/>
      <w:r>
        <w:rPr>
          <w:rFonts w:cs="Inter"/>
        </w:rPr>
        <w:t xml:space="preserve">A published figure for the cost of complying with the instrument, with its source, or an explicit marker that a search was run and no published figure was found. Free text.</w:t>
      </w:r>
    </w:p>
    <w:p>
      <w:pPr>
        <w:keepNext/>
        <w:keepLines/>
        <w:spacing w:before="240" w:after="60"/>
      </w:pPr>
      <w:r>
        <w:rPr>
          <w:rFonts w:ascii="JetBrains Mono" w:hAnsi="JetBrains Mono" w:cs="JetBrains Mono"/>
          <w:b/>
          <w:sz w:val="25"/>
        </w:rPr>
        <w:t xml:space="preserve">compliance_cost_found</w:t>
      </w:r>
    </w:p>
    <w:p>
      <w:pPr>
        <w:keepNext/>
        <w:keepLines/>
        <w:spacing w:before="0" w:after="60"/>
      </w:pPr>
      <w:r>
        <w:rPr>
          <w:rFonts w:ascii="JetBrains Mono" w:hAnsi="JetBrains Mono" w:cs="JetBrains Mono"/>
          <w:color w:val="6B8F8A"/>
          <w:sz w:val="17"/>
        </w:rPr>
        <w:t xml:space="preserve">Boolean, 1 or 0 · coverage: 100%</w:t>
      </w:r>
    </w:p>
    <w:p>
      <w:pPr/>
      <w:r>
        <w:rPr>
          <w:rFonts w:cs="Inter"/>
        </w:rPr>
        <w:t xml:space="preserve">Derived from compliance_cost, by the same rule as adoption_figure_found.</w:t>
      </w:r>
    </w:p>
    <w:tbl>
      <w:tblPr>
        <w:tblW w:w="0" w:type="auto"/>
        <w:tblLayout w:type="fixed"/>
        <w:tblLook w:val="04A0" w:firstRow="1" w:lastRow="0" w:firstColumn="1" w:lastColumn="0" w:noHBand="0" w:noVBand="1"/>
      </w:tblPr>
      <w:tblGrid>
        <w:gridCol w:w="3200"/>
        <w:gridCol w:w="900"/>
        <w:gridCol w:w="4828"/>
      </w:tblGrid>
      <w:tr>
        <w:trPr>
          <w:tblHeader/>
        </w:trPr>
        <w:tc>
          <w:tcPr>
            <w:tcW w:w="3200" w:type="dxa"/>
            <w:shd w:val="clear" w:color="auto" w:fill="004040"/>
          </w:tcPr>
          <w:p>
            <w:pPr>
              <w:spacing w:before="40" w:after="40"/>
            </w:pPr>
            <w:r>
              <w:rPr>
                <w:rFonts w:cs="Inter"/>
                <w:b/>
                <w:color w:val="FFFFFF"/>
                <w:sz w:val="18"/>
              </w:rPr>
              <w:t xml:space="preserve">Value</w:t>
            </w:r>
          </w:p>
        </w:tc>
        <w:tc>
          <w:tcPr>
            <w:tcW w:w="900" w:type="dxa"/>
            <w:shd w:val="clear" w:color="auto" w:fill="004040"/>
          </w:tcPr>
          <w:p>
            <w:pPr>
              <w:spacing w:before="40" w:after="40"/>
              <w:jc w:val="right"/>
            </w:pPr>
            <w:r>
              <w:rPr>
                <w:rFonts w:cs="Inter"/>
                <w:b/>
                <w:color w:val="FFFFFF"/>
                <w:sz w:val="18"/>
              </w:rPr>
              <w:t xml:space="preserve">Count</w:t>
            </w:r>
          </w:p>
        </w:tc>
        <w:tc>
          <w:tcPr>
            <w:tcW w:w="4828" w:type="dxa"/>
            <w:shd w:val="clear" w:color="auto" w:fill="004040"/>
          </w:tcPr>
          <w:p>
            <w:pPr>
              <w:spacing w:before="40" w:after="40"/>
            </w:pPr>
            <w:r>
              <w:rPr>
                <w:rFonts w:cs="Inter"/>
                <w:b/>
                <w:color w:val="FFFFFF"/>
                <w:sz w:val="18"/>
              </w:rPr>
              <w:t xml:space="preserve">Definition</w:t>
            </w:r>
          </w:p>
        </w:tc>
      </w:tr>
      <w:tr>
        <w:tc>
          <w:tcPr>
            <w:tcW w:w="3200" w:type="dxa"/>
            <w:tcBorders>
              <w:bottom w:val="single" w:sz="4" w:space="0" w:color="C9D1CE"/>
            </w:tcBorders>
          </w:tcPr>
          <w:p>
            <w:pPr>
              <w:spacing w:before="40" w:after="40"/>
            </w:pPr>
            <w:r>
              <w:rPr>
                <w:rFonts w:ascii="JetBrains Mono" w:hAnsi="JetBrains Mono" w:cs="JetBrains Mono"/>
                <w:sz w:val="19"/>
              </w:rPr>
              <w:t xml:space="preserve">1</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6</w:t>
            </w:r>
          </w:p>
        </w:tc>
        <w:tc>
          <w:tcPr>
            <w:tcW w:w="4828" w:type="dxa"/>
            <w:tcBorders>
              <w:bottom w:val="single" w:sz="4" w:space="0" w:color="C9D1CE"/>
            </w:tcBorders>
          </w:tcPr>
          <w:p>
            <w:pPr>
              <w:spacing w:before="40" w:after="40"/>
            </w:pPr>
            <w:r>
              <w:rPr>
                <w:rFonts w:cs="Inter"/>
                <w:sz w:val="19"/>
              </w:rPr>
              <w:t xml:space="preserve">A value is recorded.</w:t>
            </w:r>
          </w:p>
        </w:tc>
      </w:tr>
      <w:tr>
        <w:tc>
          <w:tcPr>
            <w:tcW w:w="3200" w:type="dxa"/>
            <w:tcBorders>
              <w:bottom w:val="single" w:sz="4" w:space="0" w:color="C9D1CE"/>
            </w:tcBorders>
          </w:tcPr>
          <w:p>
            <w:pPr>
              <w:spacing w:before="40" w:after="40"/>
            </w:pPr>
            <w:r>
              <w:rPr>
                <w:rFonts w:ascii="JetBrains Mono" w:hAnsi="JetBrains Mono" w:cs="JetBrains Mono"/>
                <w:sz w:val="19"/>
              </w:rPr>
              <w:t xml:space="preserve">0</w:t>
            </w:r>
          </w:p>
        </w:tc>
        <w:tc>
          <w:tcPr>
            <w:tcW w:w="900" w:type="dxa"/>
            <w:tcBorders>
              <w:bottom w:val="single" w:sz="4" w:space="0" w:color="C9D1CE"/>
            </w:tcBorders>
          </w:tcPr>
          <w:p>
            <w:pPr>
              <w:spacing w:before="40" w:after="40"/>
              <w:jc w:val="right"/>
            </w:pPr>
            <w:r>
              <w:rPr>
                <w:rFonts w:ascii="JetBrains Mono" w:hAnsi="JetBrains Mono" w:cs="JetBrains Mono"/>
                <w:sz w:val="19"/>
              </w:rPr>
              <w:t xml:space="preserve">613</w:t>
            </w:r>
          </w:p>
        </w:tc>
        <w:tc>
          <w:tcPr>
            <w:tcW w:w="4828" w:type="dxa"/>
            <w:tcBorders>
              <w:bottom w:val="single" w:sz="4" w:space="0" w:color="C9D1CE"/>
            </w:tcBorders>
          </w:tcPr>
          <w:p>
            <w:pPr>
              <w:spacing w:before="40" w:after="40"/>
            </w:pPr>
            <w:r>
              <w:rPr>
                <w:rFonts w:cs="Inter"/>
                <w:sz w:val="19"/>
              </w:rPr>
              <w:t xml:space="preserve">A search was run and nothing was found.</w:t>
            </w:r>
          </w:p>
        </w:tc>
      </w:tr>
    </w:tbl>
    <w:p>
      <w:pPr>
        <w:spacing w:after="120"/>
      </w:pPr>
    </w:p>
    <w:p>
      <w:pPr>
        <w:keepNext/>
        <w:keepLines/>
        <w:spacing w:before="240" w:after="60"/>
      </w:pPr>
      <w:r>
        <w:rPr>
          <w:rFonts w:ascii="JetBrains Mono" w:hAnsi="JetBrains Mono" w:cs="JetBrains Mono"/>
          <w:b/>
          <w:sz w:val="25"/>
        </w:rPr>
        <w:t xml:space="preserve">source_url</w:t>
      </w:r>
    </w:p>
    <w:p>
      <w:pPr>
        <w:keepNext/>
        <w:keepLines/>
        <w:spacing w:before="0" w:after="60"/>
      </w:pPr>
      <w:r>
        <w:rPr>
          <w:rFonts w:ascii="JetBrains Mono" w:hAnsi="JetBrains Mono" w:cs="JetBrains Mono"/>
          <w:color w:val="6B8F8A"/>
          <w:sz w:val="17"/>
        </w:rPr>
        <w:t xml:space="preserve">String · coverage: 100%</w:t>
      </w:r>
    </w:p>
    <w:p>
      <w:pPr/>
      <w:r>
        <w:rPr>
          <w:rFonts w:cs="Inter"/>
        </w:rPr>
        <w:t xml:space="preserve">The primary or authoritative source against which the row was verified. Every row carries one. Wikipedia is not used as a source anywhere in the file.</w:t>
      </w:r>
    </w:p>
    <w:p>
      <w:pPr>
        <w:keepNext/>
        <w:keepLines/>
        <w:spacing w:before="240" w:after="60"/>
      </w:pPr>
      <w:r>
        <w:rPr>
          <w:rFonts w:ascii="JetBrains Mono" w:hAnsi="JetBrains Mono" w:cs="JetBrains Mono"/>
          <w:b/>
          <w:sz w:val="25"/>
        </w:rPr>
        <w:t xml:space="preserve">source_note</w:t>
      </w:r>
    </w:p>
    <w:p>
      <w:pPr>
        <w:keepNext/>
        <w:keepLines/>
        <w:spacing w:before="0" w:after="60"/>
      </w:pPr>
      <w:r>
        <w:rPr>
          <w:rFonts w:ascii="JetBrains Mono" w:hAnsi="JetBrains Mono" w:cs="JetBrains Mono"/>
          <w:color w:val="6B8F8A"/>
          <w:sz w:val="17"/>
        </w:rPr>
        <w:t xml:space="preserve">String · coverage: 100%</w:t>
      </w:r>
    </w:p>
    <w:p>
      <w:pPr/>
      <w:r>
        <w:rPr>
          <w:rFonts w:cs="Inter"/>
        </w:rPr>
        <w:t xml:space="preserve">What the source establishes, and any qualification the coder recorded when reading it. Free text.</w:t>
      </w:r>
    </w:p>
    <w:sectPr>
      <w:footerReference w:type="default" r:id="rId25"/>
      <w:pgSz w:w="12240" w:h="15840"/>
      <w:pgMar w:top="1296" w:right="1440" w:bottom="1296"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97B34" w14:textId="77777777" w:rsidR="00D016B9" w:rsidRDefault="00D016B9" w:rsidP="00020B24">
      <w:pPr>
        <w:spacing w:after="0" w:line="240" w:lineRule="auto"/>
      </w:pPr>
      <w:r>
        <w:separator/>
      </w:r>
    </w:p>
  </w:endnote>
  <w:endnote w:type="continuationSeparator" w:id="0">
    <w:p w14:paraId="62A79C25" w14:textId="77777777" w:rsidR="00D016B9" w:rsidRDefault="00D016B9" w:rsidP="00020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Inter">
    <w:panose1 w:val="02000503000000020004"/>
    <w:charset w:val="00"/>
    <w:family w:val="auto"/>
    <w:pitch w:val="variable"/>
    <w:sig w:usb0="E0000AFF" w:usb1="5200A1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notTrueType/>
    <w:pitch w:val="variable"/>
    <w:sig w:usb0="00000003" w:usb1="00000000" w:usb2="00000000" w:usb3="00000000" w:csb0="00000001" w:csb1="00000000"/>
  </w:font>
  <w:font w:name="JetBrains Mono">
    <w:altName w:val="Cambria"/>
    <w:panose1 w:val="02000009000000000000"/>
    <w:charset w:val="00"/>
    <w:family w:val="modern"/>
    <w:pitch w:val="fixed"/>
    <w:sig w:usb0="A00402FF" w:usb1="1200F9FB" w:usb2="0200003C"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8973D" w14:textId="77777777" w:rsidR="006549EB" w:rsidRDefault="000523A6">
    <w:pPr>
      <w:pStyle w:val="Footer"/>
      <w:tabs>
        <w:tab w:val="clear" w:pos="4680"/>
      </w:tabs>
      <w:rPr>
        <w:color w:val="004040"/>
        <w:sz w:val="16"/>
        <w:szCs w:val="16"/>
      </w:rPr>
    </w:pPr>
    <w:r>
      <w:rPr>
        <w:color w:val="004040"/>
        <w:sz w:val="16"/>
        <w:szCs w:val="16"/>
      </w:rPr>
      <w:t>The trust instrument dataset · Codebook</w:t>
    </w:r>
    <w:r>
      <w:rPr>
        <w:color w:val="004040"/>
        <w:sz w:val="16"/>
        <w:szCs w:val="16"/>
      </w:rPr>
      <w:tab/>
      <w:t xml:space="preserve">VERSION 1.0 · AUGUST 2026 · </w:t>
    </w:r>
    <w:r>
      <w:rPr>
        <w:color w:val="004040"/>
        <w:sz w:val="16"/>
        <w:szCs w:val="16"/>
      </w:rPr>
      <w:fldChar w:fldCharType="begin"/>
    </w:r>
    <w:r>
      <w:rPr>
        <w:color w:val="004040"/>
        <w:sz w:val="16"/>
        <w:szCs w:val="16"/>
      </w:rPr>
      <w:instrText xml:space="preserve"> PAGE   \* MERGEFORMAT </w:instrText>
    </w:r>
    <w:r>
      <w:rPr>
        <w:color w:val="004040"/>
        <w:sz w:val="16"/>
        <w:szCs w:val="16"/>
      </w:rPr>
      <w:fldChar w:fldCharType="separate"/>
    </w:r>
    <w:r>
      <w:rPr>
        <w:noProof/>
        <w:color w:val="004040"/>
        <w:sz w:val="16"/>
        <w:szCs w:val="16"/>
      </w:rPr>
      <w:t>1</w:t>
    </w:r>
    <w:r>
      <w:rPr>
        <w:color w:val="00404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2B71B" w14:textId="77777777" w:rsidR="00D016B9" w:rsidRDefault="00D016B9" w:rsidP="00020B24">
      <w:pPr>
        <w:spacing w:after="0" w:line="240" w:lineRule="auto"/>
      </w:pPr>
      <w:r>
        <w:separator/>
      </w:r>
    </w:p>
  </w:footnote>
  <w:footnote w:type="continuationSeparator" w:id="0">
    <w:p w14:paraId="601C3C10" w14:textId="77777777" w:rsidR="00D016B9" w:rsidRDefault="00D016B9" w:rsidP="00020B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48994274">
    <w:abstractNumId w:val="8"/>
  </w:num>
  <w:num w:numId="2" w16cid:durableId="1775978232">
    <w:abstractNumId w:val="6"/>
  </w:num>
  <w:num w:numId="3" w16cid:durableId="403917544">
    <w:abstractNumId w:val="5"/>
  </w:num>
  <w:num w:numId="4" w16cid:durableId="2140414693">
    <w:abstractNumId w:val="4"/>
  </w:num>
  <w:num w:numId="5" w16cid:durableId="1037466082">
    <w:abstractNumId w:val="7"/>
  </w:num>
  <w:num w:numId="6" w16cid:durableId="168177711">
    <w:abstractNumId w:val="3"/>
  </w:num>
  <w:num w:numId="7" w16cid:durableId="1941520203">
    <w:abstractNumId w:val="2"/>
  </w:num>
  <w:num w:numId="8" w16cid:durableId="1068308801">
    <w:abstractNumId w:val="1"/>
  </w:num>
  <w:num w:numId="9" w16cid:durableId="1469938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3E57"/>
    <w:rsid w:val="00020B24"/>
    <w:rsid w:val="00027E00"/>
    <w:rsid w:val="00034616"/>
    <w:rsid w:val="00035790"/>
    <w:rsid w:val="0005082B"/>
    <w:rsid w:val="000523A6"/>
    <w:rsid w:val="00056131"/>
    <w:rsid w:val="0006063C"/>
    <w:rsid w:val="0007210E"/>
    <w:rsid w:val="000C5576"/>
    <w:rsid w:val="000E4C6A"/>
    <w:rsid w:val="000F0D7D"/>
    <w:rsid w:val="001024C5"/>
    <w:rsid w:val="00115E08"/>
    <w:rsid w:val="00117D3F"/>
    <w:rsid w:val="00120CC0"/>
    <w:rsid w:val="0012637D"/>
    <w:rsid w:val="00126A0E"/>
    <w:rsid w:val="0014007C"/>
    <w:rsid w:val="0015074B"/>
    <w:rsid w:val="00153BA3"/>
    <w:rsid w:val="00165875"/>
    <w:rsid w:val="00184547"/>
    <w:rsid w:val="00184F51"/>
    <w:rsid w:val="0019443D"/>
    <w:rsid w:val="001B66D0"/>
    <w:rsid w:val="001D7965"/>
    <w:rsid w:val="001E74AA"/>
    <w:rsid w:val="002233C3"/>
    <w:rsid w:val="00245541"/>
    <w:rsid w:val="00272658"/>
    <w:rsid w:val="0029639D"/>
    <w:rsid w:val="002C158A"/>
    <w:rsid w:val="002C1C25"/>
    <w:rsid w:val="002D7B39"/>
    <w:rsid w:val="002E2BDD"/>
    <w:rsid w:val="002E3C6E"/>
    <w:rsid w:val="002E6F70"/>
    <w:rsid w:val="0030292C"/>
    <w:rsid w:val="00321AEA"/>
    <w:rsid w:val="00321CDD"/>
    <w:rsid w:val="00326F90"/>
    <w:rsid w:val="00331326"/>
    <w:rsid w:val="0036067D"/>
    <w:rsid w:val="00364482"/>
    <w:rsid w:val="00381567"/>
    <w:rsid w:val="003825F2"/>
    <w:rsid w:val="00383644"/>
    <w:rsid w:val="003C0685"/>
    <w:rsid w:val="003D5741"/>
    <w:rsid w:val="003E5989"/>
    <w:rsid w:val="00401B35"/>
    <w:rsid w:val="004020A0"/>
    <w:rsid w:val="0041166F"/>
    <w:rsid w:val="00425E6A"/>
    <w:rsid w:val="00445AE0"/>
    <w:rsid w:val="00467012"/>
    <w:rsid w:val="00485212"/>
    <w:rsid w:val="004933ED"/>
    <w:rsid w:val="004B481D"/>
    <w:rsid w:val="004C6462"/>
    <w:rsid w:val="004D6FF1"/>
    <w:rsid w:val="004F0883"/>
    <w:rsid w:val="005026BF"/>
    <w:rsid w:val="00517497"/>
    <w:rsid w:val="00530746"/>
    <w:rsid w:val="005552E1"/>
    <w:rsid w:val="00591F21"/>
    <w:rsid w:val="005A2F45"/>
    <w:rsid w:val="005B0445"/>
    <w:rsid w:val="005B6C21"/>
    <w:rsid w:val="005D004A"/>
    <w:rsid w:val="005E4E8C"/>
    <w:rsid w:val="0061515A"/>
    <w:rsid w:val="00621062"/>
    <w:rsid w:val="00635981"/>
    <w:rsid w:val="0065211A"/>
    <w:rsid w:val="006549EB"/>
    <w:rsid w:val="00657D07"/>
    <w:rsid w:val="00661643"/>
    <w:rsid w:val="006651A7"/>
    <w:rsid w:val="00666764"/>
    <w:rsid w:val="006765CA"/>
    <w:rsid w:val="006872A2"/>
    <w:rsid w:val="006925C2"/>
    <w:rsid w:val="006940E1"/>
    <w:rsid w:val="006C3E5E"/>
    <w:rsid w:val="006E6CF3"/>
    <w:rsid w:val="00711C25"/>
    <w:rsid w:val="00730310"/>
    <w:rsid w:val="00733D76"/>
    <w:rsid w:val="00740ED1"/>
    <w:rsid w:val="0076326B"/>
    <w:rsid w:val="0078419C"/>
    <w:rsid w:val="00793267"/>
    <w:rsid w:val="0079599E"/>
    <w:rsid w:val="00796A67"/>
    <w:rsid w:val="007B710D"/>
    <w:rsid w:val="007E23CA"/>
    <w:rsid w:val="007F2E44"/>
    <w:rsid w:val="008048DB"/>
    <w:rsid w:val="00813418"/>
    <w:rsid w:val="008436B9"/>
    <w:rsid w:val="00843A5D"/>
    <w:rsid w:val="00843DCA"/>
    <w:rsid w:val="00844927"/>
    <w:rsid w:val="00845720"/>
    <w:rsid w:val="00846B12"/>
    <w:rsid w:val="00860FCC"/>
    <w:rsid w:val="00896743"/>
    <w:rsid w:val="008A64D7"/>
    <w:rsid w:val="00914B53"/>
    <w:rsid w:val="00921369"/>
    <w:rsid w:val="00922AC9"/>
    <w:rsid w:val="009303CF"/>
    <w:rsid w:val="00951314"/>
    <w:rsid w:val="009635A9"/>
    <w:rsid w:val="009701EC"/>
    <w:rsid w:val="009C384B"/>
    <w:rsid w:val="009D071E"/>
    <w:rsid w:val="00A211D3"/>
    <w:rsid w:val="00A40F41"/>
    <w:rsid w:val="00A41D2F"/>
    <w:rsid w:val="00A5552C"/>
    <w:rsid w:val="00A71E68"/>
    <w:rsid w:val="00A82860"/>
    <w:rsid w:val="00AA1D8D"/>
    <w:rsid w:val="00AE3721"/>
    <w:rsid w:val="00B234EE"/>
    <w:rsid w:val="00B42296"/>
    <w:rsid w:val="00B47730"/>
    <w:rsid w:val="00B55643"/>
    <w:rsid w:val="00B5603E"/>
    <w:rsid w:val="00B81C12"/>
    <w:rsid w:val="00B97930"/>
    <w:rsid w:val="00BA1D96"/>
    <w:rsid w:val="00BB57D2"/>
    <w:rsid w:val="00BD0E64"/>
    <w:rsid w:val="00BD208D"/>
    <w:rsid w:val="00BD5AC6"/>
    <w:rsid w:val="00BF24BB"/>
    <w:rsid w:val="00C02809"/>
    <w:rsid w:val="00C03082"/>
    <w:rsid w:val="00C033F1"/>
    <w:rsid w:val="00C1697F"/>
    <w:rsid w:val="00C16DD0"/>
    <w:rsid w:val="00C17A19"/>
    <w:rsid w:val="00C47A1A"/>
    <w:rsid w:val="00C55ABF"/>
    <w:rsid w:val="00C7129C"/>
    <w:rsid w:val="00C71A50"/>
    <w:rsid w:val="00C84B9A"/>
    <w:rsid w:val="00C9361A"/>
    <w:rsid w:val="00C955E4"/>
    <w:rsid w:val="00CB0664"/>
    <w:rsid w:val="00CB5B58"/>
    <w:rsid w:val="00D016B9"/>
    <w:rsid w:val="00D246B4"/>
    <w:rsid w:val="00D270D4"/>
    <w:rsid w:val="00D56391"/>
    <w:rsid w:val="00D57CDE"/>
    <w:rsid w:val="00D756B3"/>
    <w:rsid w:val="00DA6A2B"/>
    <w:rsid w:val="00DE64B9"/>
    <w:rsid w:val="00E31A2D"/>
    <w:rsid w:val="00E37CAB"/>
    <w:rsid w:val="00E45088"/>
    <w:rsid w:val="00E56844"/>
    <w:rsid w:val="00E61967"/>
    <w:rsid w:val="00E77D3A"/>
    <w:rsid w:val="00E80AB5"/>
    <w:rsid w:val="00E96A5A"/>
    <w:rsid w:val="00EA7D28"/>
    <w:rsid w:val="00EF0CF8"/>
    <w:rsid w:val="00F15050"/>
    <w:rsid w:val="00F246DF"/>
    <w:rsid w:val="00F84C05"/>
    <w:rsid w:val="00FB7C05"/>
    <w:rsid w:val="00FB7D42"/>
    <w:rsid w:val="00FC693F"/>
    <w:rsid w:val="00FD2866"/>
    <w:rsid w:val="00FE44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F447F0"/>
  <w14:defaultImageDpi w14:val="300"/>
  <w15:docId w15:val="{B43DD574-6C57-4FFC-B7C0-BD8CBDE58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C05"/>
    <w:pPr>
      <w:spacing w:after="160"/>
    </w:pPr>
    <w:rPr>
      <w:rFonts w:ascii="Inter" w:hAnsi="Inter"/>
      <w:color w:val="1F2322"/>
    </w:rPr>
  </w:style>
  <w:style w:type="paragraph" w:styleId="Heading1">
    <w:name w:val="heading 1"/>
    <w:basedOn w:val="Normal"/>
    <w:next w:val="Normal"/>
    <w:link w:val="Heading1Char"/>
    <w:uiPriority w:val="9"/>
    <w:qFormat/>
    <w:rsid w:val="00FC693F"/>
    <w:pPr>
      <w:keepNext/>
      <w:keepLines/>
      <w:spacing w:after="200"/>
      <w:outlineLvl w:val="0"/>
    </w:pPr>
    <w:rPr>
      <w:rFonts w:eastAsiaTheme="majorEastAsia" w:cstheme="majorBidi"/>
      <w:b/>
      <w:bCs/>
      <w:color w:val="004040"/>
      <w:sz w:val="60"/>
      <w:szCs w:val="28"/>
    </w:rPr>
  </w:style>
  <w:style w:type="paragraph" w:styleId="Heading2">
    <w:name w:val="heading 2"/>
    <w:basedOn w:val="Normal"/>
    <w:next w:val="Normal"/>
    <w:link w:val="Heading2Char"/>
    <w:uiPriority w:val="9"/>
    <w:unhideWhenUsed/>
    <w:qFormat/>
    <w:rsid w:val="00FC693F"/>
    <w:pPr>
      <w:keepNext/>
      <w:keepLines/>
      <w:spacing w:before="40" w:after="120"/>
      <w:outlineLvl w:val="1"/>
    </w:pPr>
    <w:rPr>
      <w:rFonts w:eastAsiaTheme="majorEastAsia" w:cstheme="majorBidi"/>
      <w:b/>
      <w:bCs/>
      <w:color w:val="004040"/>
      <w:sz w:val="3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Inter" w:eastAsiaTheme="majorEastAsia" w:hAnsi="Inter" w:cstheme="majorBidi"/>
      <w:b/>
      <w:bCs/>
      <w:color w:val="004040"/>
      <w:sz w:val="60"/>
      <w:szCs w:val="28"/>
    </w:rPr>
  </w:style>
  <w:style w:type="character" w:customStyle="1" w:styleId="Heading2Char">
    <w:name w:val="Heading 2 Char"/>
    <w:basedOn w:val="DefaultParagraphFont"/>
    <w:link w:val="Heading2"/>
    <w:uiPriority w:val="9"/>
    <w:rsid w:val="00FC693F"/>
    <w:rPr>
      <w:rFonts w:ascii="Inter" w:eastAsiaTheme="majorEastAsia" w:hAnsi="Inter" w:cstheme="majorBidi"/>
      <w:b/>
      <w:bCs/>
      <w:color w:val="004040"/>
      <w:sz w:val="3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rFonts w:ascii="Inter" w:hAnsi="Inte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rFonts w:ascii="Inter" w:hAnsi="Inter"/>
      <w:b/>
      <w:bCs/>
      <w:color w:val="1F2322"/>
      <w:sz w:val="22"/>
    </w:rPr>
  </w:style>
  <w:style w:type="character" w:styleId="Emphasis">
    <w:name w:val="Emphasis"/>
    <w:basedOn w:val="DefaultParagraphFont"/>
    <w:uiPriority w:val="20"/>
    <w:qFormat/>
    <w:rsid w:val="00FC693F"/>
    <w:rPr>
      <w:rFonts w:ascii="Inter" w:hAnsi="Inter"/>
      <w:i/>
      <w:iCs/>
      <w:color w:val="1F2322"/>
      <w:sz w:val="22"/>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FC693F"/>
    <w:rPr>
      <w:rFonts w:ascii="Inter" w:hAnsi="Inter"/>
      <w:b/>
      <w:bCs/>
      <w:i/>
      <w:iCs/>
      <w:color w:val="4F81BD"/>
    </w:rPr>
  </w:style>
  <w:style w:type="character" w:styleId="SubtleEmphasis">
    <w:name w:val="Subtle Emphasis"/>
    <w:basedOn w:val="DefaultParagraphFont"/>
    <w:uiPriority w:val="19"/>
    <w:qFormat/>
    <w:rsid w:val="00FC693F"/>
    <w:rPr>
      <w:rFonts w:ascii="Inter" w:hAnsi="Inter"/>
      <w:i/>
      <w:iCs/>
      <w:color w:val="808080"/>
      <w:sz w:val="22"/>
    </w:rPr>
  </w:style>
  <w:style w:type="character" w:styleId="IntenseEmphasis">
    <w:name w:val="Intense Emphasis"/>
    <w:basedOn w:val="DefaultParagraphFont"/>
    <w:uiPriority w:val="21"/>
    <w:qFormat/>
    <w:rsid w:val="00FC693F"/>
    <w:rPr>
      <w:rFonts w:ascii="Inter" w:hAnsi="Inter"/>
      <w:b/>
      <w:bCs/>
      <w:i/>
      <w:iCs/>
      <w:color w:val="4F81BD"/>
      <w:sz w:val="22"/>
    </w:rPr>
  </w:style>
  <w:style w:type="character" w:styleId="SubtleReference">
    <w:name w:val="Subtle Reference"/>
    <w:basedOn w:val="DefaultParagraphFont"/>
    <w:uiPriority w:val="31"/>
    <w:qFormat/>
    <w:rsid w:val="00FC693F"/>
    <w:rPr>
      <w:rFonts w:ascii="Inter" w:hAnsi="Inter"/>
      <w:smallCaps/>
      <w:color w:val="C0504D"/>
      <w:sz w:val="22"/>
      <w:u w:val="single"/>
    </w:rPr>
  </w:style>
  <w:style w:type="character" w:styleId="IntenseReference">
    <w:name w:val="Intense Reference"/>
    <w:basedOn w:val="DefaultParagraphFont"/>
    <w:uiPriority w:val="32"/>
    <w:qFormat/>
    <w:rsid w:val="00FC693F"/>
    <w:rPr>
      <w:rFonts w:ascii="Inter" w:hAnsi="Inter"/>
      <w:b/>
      <w:bCs/>
      <w:smallCaps/>
      <w:color w:val="C0504D"/>
      <w:spacing w:val="5"/>
      <w:sz w:val="22"/>
      <w:u w:val="single"/>
    </w:rPr>
  </w:style>
  <w:style w:type="character" w:styleId="BookTitle">
    <w:name w:val="Book Title"/>
    <w:basedOn w:val="DefaultParagraphFont"/>
    <w:uiPriority w:val="33"/>
    <w:qFormat/>
    <w:rsid w:val="00FC693F"/>
    <w:rPr>
      <w:rFonts w:ascii="Inter" w:hAnsi="Inter"/>
      <w:b/>
      <w:bCs/>
      <w:smallCaps/>
      <w:color w:val="1F2322"/>
      <w:spacing w:val="5"/>
      <w:sz w:val="22"/>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autoRedefine/>
    <w:uiPriority w:val="39"/>
    <w:unhideWhenUsed/>
    <w:rsid w:val="00BD208D"/>
    <w:pPr>
      <w:spacing w:after="100"/>
    </w:pPr>
  </w:style>
  <w:style w:type="paragraph" w:styleId="TOC2">
    <w:name w:val="toc 2"/>
    <w:basedOn w:val="Normal"/>
    <w:next w:val="Normal"/>
    <w:autoRedefine/>
    <w:uiPriority w:val="39"/>
    <w:unhideWhenUsed/>
    <w:rsid w:val="00BD208D"/>
    <w:pPr>
      <w:spacing w:after="100"/>
      <w:ind w:left="220"/>
    </w:pPr>
  </w:style>
  <w:style w:type="character" w:styleId="Hyperlink">
    <w:name w:val="Hyperlink"/>
    <w:basedOn w:val="DefaultParagraphFont"/>
    <w:uiPriority w:val="99"/>
    <w:unhideWhenUsed/>
    <w:rsid w:val="00BD208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26"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25"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65DD013-B899-47F3-A783-90308F820E37}">
  <we:reference id="d51ccb01-85e7-42ab-885b-de05c07799f3" version="1.0.0.1" store="EXCatalog" storeType="EXCatalog"/>
  <we:alternateReferences>
    <we:reference id="WA200010453" version="1.0.0.1" store="en-US" storeType="OMEX"/>
  </we:alternateReferences>
  <we:properties>
    <we:property name="claude.fileId" value="&quot;4d739bbb-5853-466f-bc5c-3230389a4a74&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d2df9bc-18e1-47eb-9591-109e17720c5d">
      <Terms xmlns="http://schemas.microsoft.com/office/infopath/2007/PartnerControls"/>
    </lcf76f155ced4ddcb4097134ff3c332f>
    <TaxCatchAll xmlns="dbe66e3b-8f29-4b4d-ba9b-edc72550a175"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7D204B7A37B4E438A1F8DF9AAEEE367" ma:contentTypeVersion="11" ma:contentTypeDescription="Create a new document." ma:contentTypeScope="" ma:versionID="bb6328ea7557c2bdddc973f0c3a59620">
  <xsd:schema xmlns:xsd="http://www.w3.org/2001/XMLSchema" xmlns:xs="http://www.w3.org/2001/XMLSchema" xmlns:p="http://schemas.microsoft.com/office/2006/metadata/properties" xmlns:ns2="4d2df9bc-18e1-47eb-9591-109e17720c5d" xmlns:ns3="dbe66e3b-8f29-4b4d-ba9b-edc72550a175" targetNamespace="http://schemas.microsoft.com/office/2006/metadata/properties" ma:root="true" ma:fieldsID="352631c35bb9020436e2749dd3d80cb5" ns2:_="" ns3:_="">
    <xsd:import namespace="4d2df9bc-18e1-47eb-9591-109e17720c5d"/>
    <xsd:import namespace="dbe66e3b-8f29-4b4d-ba9b-edc72550a17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2df9bc-18e1-47eb-9591-109e17720c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f33aaf6-71e7-4d85-b9a3-495531993a4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e66e3b-8f29-4b4d-ba9b-edc72550a17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788054-ac45-4ab4-92c1-941940368427}" ma:internalName="TaxCatchAll" ma:showField="CatchAllData" ma:web="dbe66e3b-8f29-4b4d-ba9b-edc72550a1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D278B7-041F-415E-BCA6-D6E89A17E03B}">
  <ds:schemaRefs>
    <ds:schemaRef ds:uri="http://schemas.microsoft.com/office/2006/metadata/properties"/>
    <ds:schemaRef ds:uri="http://schemas.microsoft.com/office/infopath/2007/PartnerControls"/>
    <ds:schemaRef ds:uri="4d2df9bc-18e1-47eb-9591-109e17720c5d"/>
    <ds:schemaRef ds:uri="dbe66e3b-8f29-4b4d-ba9b-edc72550a175"/>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9F244EC8-90DB-4DF8-A5C3-BBCB3344EE93}">
  <ds:schemaRefs>
    <ds:schemaRef ds:uri="http://schemas.microsoft.com/sharepoint/v3/contenttype/forms"/>
  </ds:schemaRefs>
</ds:datastoreItem>
</file>

<file path=customXml/itemProps4.xml><?xml version="1.0" encoding="utf-8"?>
<ds:datastoreItem xmlns:ds="http://schemas.openxmlformats.org/officeDocument/2006/customXml" ds:itemID="{3B4EEDD4-5223-4CD0-8B71-EFE09CC414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2df9bc-18e1-47eb-9591-109e17720c5d"/>
    <ds:schemaRef ds:uri="dbe66e3b-8f29-4b4d-ba9b-edc72550a1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5010</Words>
  <Characters>28559</Characters>
  <Application>Microsoft Office Word</Application>
  <DocSecurity>0</DocSecurity>
  <Lines>237</Lines>
  <Paragraphs>67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33502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trust instrument dataset: codebook</dc:title>
  <dc:subject>Codebook</dc:subject>
  <dc:creator>World Interoperable Trust Organization</dc:creator>
  <cp:keywords>economic trust infrastructure; instruments; trust stack; mutual recognition; conformity assessment; traceability; accreditation</cp:keywords>
  <dc:description>Codebook for the trust instrument dataset, version 1.0. Variables, definitions, and permitted values. World Interoperable Trust Organization, Geneva, August 2026.</dc:description>
  <cp:lastModifiedBy>World Interoperable Trust Organization</cp:lastModifiedBy>
  <cp:revision>40</cp:revision>
  <cp:lastPrinted>2026-08-05T21:22:00Z</cp:lastPrinted>
  <dcterms:created xsi:type="dcterms:W3CDTF">2026-07-30T04:45:00Z</dcterms:created>
  <dcterms:modified xsi:type="dcterms:W3CDTF">2026-08-20T12:57:00Z</dcterms:modified>
  <cp:category>Codebook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0x01010057D204B7A37B4E438A1F8DF9AAEEE367</vt:lpwstr>
  </property>
  <property fmtid="{D5CDD505-2E9C-101B-9397-08002B2CF9AE}" pid="3" name="MediaServiceImageTags">
    <vt:lpwstr/>
  </property>
</Properties>
</file>